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15,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NEONC TECHNOLOGIES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92-1954864</w:t>
            </w:r>
          </w:p>
        </w:tc>
      </w:tr>
      <w:tr>
        <w:trPr>
          <w:trHeight w:val="187"/>
        </w:trPr>
        <w:tc>
          <w:tcPr>
            <w:tcW w:w="5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23975 Park Sorrento, Suite 205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Calabasas, CA 91302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 663-7831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Amir Heshmatpour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23975 Park Sorrento, Suite 205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Calabasas, CA 91302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 663-7831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J. Poletti,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Manatt, Phelps &amp; Phillips LLP</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695 Town Center Drive, 14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Costa Mesa, CA 92626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(714) 371-2500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is declared effective.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66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555,554 shares of Common Stock</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 named herein (the “Selling Stockholder”), or its respective transferees, pledgees, donees or other successors-in-interest, from time to time, of up to 555,554 of our shares (the “Shares”) of common stock, par value $0.0001 (“Common Stock”) of NeOnc Technologies Holdings, Inc., a Delaware corporation (the “Company”) consisting of (i) 277,777 shares of Common Stock and (ii) 277,777 shares of Common Stock issuable upon exercise of a warrant (“Warrant”). We are registering the Shares on behalf of the Selling Stockholder, to be offered and sold from time to time, to satisfy certain registration rights that we have granted to the Selling Stockholder.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2026, the Company entered into a securities purchase agreement with the Selling Stockholder, pursuant to which the Company issued the Selling Stockholder 277,777 shares of Common Stock and a Warrant to purchase 277,777 shares of Common Stock. See “</w:t>
      </w:r>
      <w:r>
        <w:rPr>
          <w:rFonts w:ascii="Times New Roman" w:cs="Times New Roman" w:eastAsia="Times New Roman" w:hAnsi="Times New Roman"/>
          <w:sz w:val="18"/>
          <w:szCs w:val="18"/>
          <w:i w:val="1"/>
          <w:iCs w:val="1"/>
          <w:color w:val="auto"/>
        </w:rPr>
        <w:t>Description of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Placement</w:t>
      </w:r>
      <w:r>
        <w:rPr>
          <w:rFonts w:ascii="Times New Roman" w:cs="Times New Roman" w:eastAsia="Times New Roman" w:hAnsi="Times New Roman"/>
          <w:sz w:val="18"/>
          <w:szCs w:val="18"/>
          <w:color w:val="auto"/>
        </w:rPr>
        <w:t>”, and the section titled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for additional information regarding the Selling Stockholder.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may resell or dispose of the Shares, or interests therein, at fixed prices, at prevailing market prices at the time of sale or at prices negotiated with purchasers, to or through underwriters, broker-dealers, agents, or through any other means described under the heading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beginning on page 17 of this prospectus. The Selling Stockholder will bear its respective commissions and discounts, if any,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or disposition of the Shares, or interests therein, held by the Selling Stockholder. We will bear all costs, expenses and fees in connection with the registration of the Shares.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“NTHI.” On June 12, 2026, the last reported sale price for our Common Stock on the Nasdaq Global Market was $4.75 per share.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5 of this prospectus, contained in the applicable prospectus and prospectus supplement and in any related free writing prospectus, and under similar headings in the other documents that are incorporated by reference into this prospectus or any prospectus supplement before making a decision to purchase our securities.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The date of this prospectus _______________,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4280" w:type="dxa"/>
            <w:vAlign w:val="bottom"/>
            <w:gridSpan w:val="13"/>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596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9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9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740" w:type="dxa"/>
            <w:vAlign w:val="bottom"/>
            <w:tcBorders>
              <w:bottom w:val="single" w:sz="8" w:color="CCEEFF"/>
            </w:tcBorders>
            <w:gridSpan w:val="6"/>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360" w:type="dxa"/>
            <w:vAlign w:val="bottom"/>
            <w:tcBorders>
              <w:bottom w:val="single" w:sz="8" w:color="CCEEFF"/>
            </w:tcBorders>
            <w:gridSpan w:val="11"/>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w:t>
            </w:r>
          </w:p>
        </w:tc>
        <w:tc>
          <w:tcPr>
            <w:tcW w:w="2840" w:type="dxa"/>
            <w:vAlign w:val="bottom"/>
            <w:tcBorders>
              <w:bottom w:val="single" w:sz="8" w:color="CCEEFF"/>
            </w:tcBorders>
            <w:gridSpan w:val="7"/>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840" w:type="dxa"/>
            <w:vAlign w:val="bottom"/>
            <w:tcBorders>
              <w:bottom w:val="single" w:sz="8" w:color="CCEEFF"/>
            </w:tcBorders>
            <w:gridSpan w:val="7"/>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720" w:type="dxa"/>
            <w:vAlign w:val="bottom"/>
            <w:tcBorders>
              <w:bottom w:val="single" w:sz="8" w:color="CCEEFF"/>
            </w:tcBorders>
            <w:gridSpan w:val="12"/>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960" w:type="dxa"/>
            <w:vAlign w:val="bottom"/>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Neither we nor the Selling Stockholder have authorized any other person to provide you with information different from or in addition to that contained in this prospectus. If anyone provides you with different or inconsistent information, you should not rely on it. The Selling Stockholder is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further note that the representations, warranties and covenants made by us in any document that is filed as an exhibit to the registration statement of which this prospectus is a part and in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NeOnc Technologies Holdings, Inc. (“we,” “us,” “NeOnc,” or the “Company”) filed with the Securities and Exchange Commission (the “SEC”). The Selling Stockholder may sell from time to time up to 277,777 shares of Common Stock and 277,777 shares of Common Stock issuable upon exercise of the Warrant as described in this prospectus. We are not selling any shares of Common Stock under this prospectus, and we will not receive any proceeds from the sale of shares of Common Stock offered hereby by the Selling Stockholder. However, we may receive proceeds from the exercise of the Warrant to the extent it is exercised for cash. Any proceeds we receive from the cash exercise of the Warrant will be used for general corporate purposes. We will not receive any proceeds from the exercise of the Warrant if it is exercised on a cashless basis.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on Form S-3 of which this prospectus forms a part (the “Registration Statement”) that may contain material information relating to the offering. The prospectus supplement or post-effective amendment may also add, update or change information contained in this prospectus with respect to the offering. If there is any inconsistency between the information in this prospectus and the applicable prospectus supplement or post-effective amendment, you should rely on the prospectus supplement or post-effective amendment, as applicable. Before purchasing any Shares, you should carefully read this prospectus, any post-effective amendment, and any applicable prospectus supplement, together with the additional information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19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beginning on page 20.</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or incorporated by reference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Shares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incorporates by reference, and any post-effective amendment or any prospectus supplement may contain or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incorporated by reference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incorporated by reference in this prospectus, any post-effective amendment and any applicable prospectus supplement. Accordingly, investors should not place undue reliance on this information.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the terms “NeOnc,” “NTHI,” “we,” “us,” “our,” “our company,” “Company” and “our business” refer to NeOnc Technologies Holdings, Inc.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which involve risks and uncertainties. These forward-looking statements can be identified by the use of forward-looking terminology, including the terms “believe,” “estimate,” “project,” “anticipate,” “expect,” “seek,” “predict,” “continue,” “possible,” “intend,” “may,” “might,” “will,” “could,” “would” or “should” or, in each case, their negative, or other variations or comparable terminology. These forward-looking statements include all matters that are not historical facts. They appear in a number of places throughout this prospectus and the documents incorporated by reference in this prospectus, and include statements regarding our intentions, beliefs or current expectations concerning, among other things, development, manufacturing and sales of our products, our operations, prospects, strategies, and the industry in which we operate.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Forward-looking statements should not be read as a guarantee of future performance or results and may not be accurate indications of when such performance or results will be achieved. In light of these risks and uncertainties, the forward-looking events and circumstances discussed in this prospectus may not occur and actual results could differ materially from those anticipated or implied in the forward-looking statements.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 You should read this prospectus, the documents incorporated by reference in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All forward-looking statements are based upon information available to us on the date of this prospectus.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 from those made in or suggested by the forward-looking statements contained in this prospectus. In addition, even if our results of operations, financial condition, business and prospects are consistent with the forward-looking statements contained (or incorporated by reference) in this prospectus, those results may not be indicative of results in subsequent periods.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necessarily involve risks and uncertainties, and our actual results could differ materially from those anticipated in the forward-looking statements due to several factors, including those set forth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on Form 10-K filed with the SEC, as such risk factors may be amended, supplemented, or superseded from time to time by other reports we file with the SEC, including subsequent Annual Reports on Form 10-K and Quarterly Reports on Form 10-Q and any amendments thereof, and the risk factors described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applicable prospectus supplement.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Incorporated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The factors set forth below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cautionary statements made in this prospectus should be read and understood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applicable to all related forward-looking statements wherever they appear in this prospectus. The forward-looking statements contained in this prospectus represent our judgment as of the date of this prospectus. We caution readers not to place undue reliance on such statements. Except as required by law, we undertake no obligation to update publicly any forward-looking statements for any reason, even if new information becomes available or other events occur in the future. All subsequent written and oral forward-looking statements attributable to us or persons acting on our behalf are expressly qualified in their entirety by the cautionary statements contained above and throughout this prospectus.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and in documents incorporated by reference. This summary is not complete and may not contain all the information you should consider before investing in our securities. You should read this entire prospectus and the documents incorporated by reference in this prospectus carefully, especially the risks of investing in our securities discussed under the heading “Risk Factors,” and our financial statements and related notes incorporated by reference in this prospectus before making an investment decision. Except as otherwise indicated herein or as the context otherwise requires, references in this prospectus and the documents incorporated by reference in this prospectus to, the “Company”, “we”, “us”, “our”, “NeOnc” refer to NeOnc Technologies Holdings, Inc., a Delaware corporation, and its consolidated subsidiaries. This prospectus includes forward-looking statements that involve risks and uncertainties. See “Cautionary Note Regarding Forward-Looking Statements.” This prospectus includes trademarks, service marks and trade names owned by us or other companies. All trademarks, service marks and trade names included in this prospectus are the property of their respective owners.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NeOnc Technologies Holdings,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 (f/k/a NAS-ONC, Inc.) was formed in 2008, devoted to developing new drugs with new delivery modes. As a clinical-stage biopharmaceutical company, we have focused on establishing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NeOnc has two lead products in development: NEO100 and NEO212. NEO100 is a purified form of perillyl alcohol (“POH”) which is administered to brain cancer patients via intranasal delivery. Ongoing activities for intranasal delivery of NEO100:</w:t>
      </w:r>
    </w:p>
    <w:p>
      <w:pPr>
        <w:spacing w:after="0" w:line="162"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human testing in a Phase I clinical trial and are currently conducting a Phase IIa trial with recurrent malignant glioma (Grade IV, IDH1 mutant and Grade III Astrocytoma, IDH1 mutant) patients.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similar Phase IIa trial of intranasal NEO100 (NEO 100-02) for patients with malignant skull-based meningioma is also ongoing. Meningiomas are slow-growing tumors originating in the meninges, the membranous layers surrounding the brain and spinal cord. We initiated this because these patients lack effective treatment options. These tumors are notoriously difficult to access, and conventional methods like surgery often lead to significant neurological deficits. Additionally, radiation therapy has shown limited effectiveness. The trial was officially launched in July 2023. As NEO100 uses the same treatment platform as the malignant gliomas, we bypassed the Phase I trial and received FDA approval for a Phase II trial within just 30 days.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from this single-drug application, NEO100 is further being investigated as a drug delivery vehicle, where the results of NeOnc’s preclinical studies suggest evidence that the combination of NEO100 with other drugs may enable a patient’s improved brain tumor delivery via the intranasal route. Intranasal NEO100, mixed with levodopa (L-DOPA), is in the planning stages for a clinical trial in patients with Parkinson’s disease (PD). NeOnc’s laboratory experiments showed that intranasal NEO100 mixed with levodopa was able to reverse PD symptoms in mice. A Phase I clinical trial is planned to study the impact on human patients.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auto"/>
        </w:rPr>
        <w:t>Our initial application for the Phase I/IIa trial for NEO 100 focused on an enrollment population with recurrent glioblastoma. Based on our Phase I results, NEO 100 showed more promise in patients with IDH1,2 mutant Grade IV astrocytomas. However, this patient population represented less than 5-10 percent of all patients with recurrent glioblastoma. As we planned for a total of 31 patients for Phase IIa in our initial analysis, enrollment of recurrent Grade IV, IDH1,2 mutants was limited due to the fact that only 5-10 percent of Grade IV astrocytomas have IDH1,2 mutations. Independent biostatistical review of clinical progression patterns of recurrent IDH1,2 mutated Grade III astrocytomas compared to recurrent IDH1,2 mutated Grade IV astrocytomas revealed that these two tumors have the same prognosis. As a result, in June 2023 we requested that the FDA not object to the inclusion of patients with recurrent Grade III IDH1,2 mutant astrocytomas in the Phase IIa trial. The FDA did not object and, as a result, the population of patients available to be enrolled is now much larger. Because the prognosis of recurrent Grade III IDH1,2 mutants is similar to recurrent IDH1,2 Grade IV astrocytomas, the number of patients needed to be enrolled in the Phase IIa trial to assess the clinical efficacy of NEO100 in the population of high grade astrocytomas did not change. The expanded patient population means that there are a significant number of additional patients that can be targeted for potential enrollment in the Phase IIa study; in an initial review, we have identified approximately 80 grade III IDH1,2 mutation-positive candidates. Patients with residual measurable disease are now followed via MRI scans to determine if there is progression, (recurrent disease), making them eligible for enrollment. We believe this focused enrollment strategy for Grade III and IV IDH1/2-mutant patients has the potential to support a more efficient trial process. Based on our current planning assumptions, we believe a Phase II data readout for NEO100 may be achievable by the end of 2026.</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second lead product, NEO212, a covalently conjugated molecule combining the chemotherapeutic drug temozolomide with perillyl alcohol, has completed preclinical testing and has received investigational new drug (IND) approval from the United States Food and Drug Administration (FDA), i.e., it has been authorized to proceed to clinical testing in cancer patients. We have designed a Phase I/II trial for oral NEO212, which began in the fourth quarter of 2023. In this trial, NEO212 will be administered orally to patients with primary brain tumors (i.e., malignant gliomas) and secondary brain tumors (i.e., brain metastases derived from peripheral tumors, such as tumors of the lung, breast, skin/melanoma, etc.). Furthermore, NEO212 is undergoing development towards intranasal application specifically for patients with uncontrolled brain metastases derived from peripheral tumors (lung, breast, skin, etc.), but has not yet been studied in human patients.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none of our product candidates have been approved for sale in the United States or elsewhere. We have no commercial products nor do we have a sales or marketing infrastructure. In order to market and sell our products we must conduct clinical trials on patients and obtain regulatory approvals from appropriate regulatory agencies, like the FDA in the United States, and similar organizations elsewhere in the world.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and from January 1, 2023 to December 31, 2025 have only generated revenue of $193,452. We do not anticipate generating significant revenues for the foreseeable future. We had net loss of $62,146,210 and $11,898,464 for the years ended December 31, 2025 and 2024, respectively. At December 31, 2025, we had an accumulated deficit of $112,754,655.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For so long as we remain an emerging growth company, we are permitted to rely on exemptions from specified disclosure requirements that are applicable to other public companies that are not emerging growth companies. These exemptions include the following:</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controls over financial reporting;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in the future by the Public Company Accounting Oversight Board regarding mandatory audit firm rotation or a supplement to the auditor’s report providing additional information about the audit and the financial statements;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An emerging growth company may delay the adoption of certain accounting standards until those standards would otherwise apply to private companies. We have irrevocably elected not to take advantage of the extended transition period for complying with new or revised accounting standards provided to emerging growth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completion of our direct listing,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 Such reduced disclosure and corporate governance obligations may make it more challenging for investors to analyze our results of operations and financial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NeOnc Technologies Holdings, Inc. (“NeOnc” or the “Company”) was incorporated in the State of Delaware. The Company was formed as a holding company in connection with a share exchange transaction completed on April 7, 2023, pursuant to which all of the common stockholders of NeOnc Technologies, Inc. (“NTI”), the Company’s wholly owned operating subsidiary, exchanged their shares in NTI for shares of common stock of the Company. NTI was originally incorporated in California in 2008 under the name NAS-ONC, Inc. and subsequently redomiciled and renamed NeOnc Technologies, Inc. Following the share exchange, NTI became a wholly owned subsidiary of the Company, which conducts all of the Company’s research and development and clinical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23975 Park Sorrento, Suite 205, Calabasas, CA 91302, and our telephone number is (310) 663-7831. We maintain a website at </w:t>
      </w:r>
      <w:r>
        <w:rPr>
          <w:rFonts w:ascii="Times New Roman" w:cs="Times New Roman" w:eastAsia="Times New Roman" w:hAnsi="Times New Roman"/>
          <w:sz w:val="18"/>
          <w:szCs w:val="18"/>
          <w:i w:val="1"/>
          <w:iCs w:val="1"/>
          <w:color w:val="auto"/>
        </w:rPr>
        <w:t>www.neonc.com/</w:t>
      </w:r>
      <w:r>
        <w:rPr>
          <w:rFonts w:ascii="Times New Roman" w:cs="Times New Roman" w:eastAsia="Times New Roman" w:hAnsi="Times New Roman"/>
          <w:sz w:val="18"/>
          <w:szCs w:val="18"/>
          <w:color w:val="auto"/>
        </w:rPr>
        <w:t>. Information available on our website is not incorporated by reference in and is not deemed a part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complete description of our business, financial condition, results of operations and other important information, we refer you to our filings with the Securities and Exchange Commission (the “SEC”) that are incorporated by reference in this prospectus, including our Annual Report on Form 10-K for the year ended December 31, 2025 as filed with the SEC on March 31, 2026 and as further amended and filed with the SEC on May 5, 2026. For instructions on how to find copies of these documents, please see the section 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beginning on page 20 of this prospectus.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83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10"/>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 by the Selling</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555,554 shares of Common Stock, consisting of (i) 277,777 shares of Common Stock, and (ii) 277,777</w:t>
            </w:r>
          </w:p>
        </w:tc>
      </w:tr>
      <w:tr>
        <w:trPr>
          <w:trHeight w:val="238"/>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of Common Stock issuable upon exercise of the Warrant.</w:t>
            </w:r>
          </w:p>
        </w:tc>
      </w:tr>
      <w:tr>
        <w:trPr>
          <w:trHeight w:val="595"/>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Outstanding</w:t>
            </w:r>
            <w:r>
              <w:rPr>
                <w:rFonts w:ascii="Times New Roman" w:cs="Times New Roman" w:eastAsia="Times New Roman" w:hAnsi="Times New Roman"/>
                <w:sz w:val="29"/>
                <w:szCs w:val="29"/>
                <w:b w:val="1"/>
                <w:bCs w:val="1"/>
                <w:color w:val="auto"/>
                <w:vertAlign w:val="superscript"/>
              </w:rPr>
              <w:t>(1)</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25,933,365 shares of Common Stock as of June 12, 2026.</w:t>
            </w:r>
          </w:p>
        </w:tc>
      </w:tr>
      <w:tr>
        <w:trPr>
          <w:trHeight w:val="291"/>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 will not receive any of the proceeds from the sale by the Selling Stockholder of shares of Common</w:t>
            </w:r>
          </w:p>
        </w:tc>
      </w:tr>
      <w:tr>
        <w:trPr>
          <w:trHeight w:val="216"/>
        </w:trPr>
        <w:tc>
          <w:tcPr>
            <w:tcW w:w="2940" w:type="dxa"/>
            <w:vAlign w:val="bottom"/>
          </w:tcPr>
          <w:p>
            <w:pPr>
              <w:spacing w:after="0"/>
              <w:rPr>
                <w:sz w:val="18"/>
                <w:szCs w:val="18"/>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Stock, although we will receive the exercise price of the Warrant not exercised by the Selling Stockholder on</w:t>
            </w:r>
          </w:p>
        </w:tc>
      </w:tr>
      <w:tr>
        <w:trPr>
          <w:trHeight w:val="216"/>
        </w:trPr>
        <w:tc>
          <w:tcPr>
            <w:tcW w:w="2940" w:type="dxa"/>
            <w:vAlign w:val="bottom"/>
          </w:tcPr>
          <w:p>
            <w:pPr>
              <w:spacing w:after="0"/>
              <w:rPr>
                <w:sz w:val="18"/>
                <w:szCs w:val="18"/>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cashless exercise basis. Any proceeds received by us from the exercise of the Warrant will be used for</w:t>
            </w:r>
          </w:p>
        </w:tc>
      </w:tr>
      <w:tr>
        <w:trPr>
          <w:trHeight w:val="214"/>
        </w:trPr>
        <w:tc>
          <w:tcPr>
            <w:tcW w:w="2940" w:type="dxa"/>
            <w:vAlign w:val="bottom"/>
          </w:tcPr>
          <w:p>
            <w:pPr>
              <w:spacing w:after="0"/>
              <w:rPr>
                <w:sz w:val="18"/>
                <w:szCs w:val="18"/>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corporate purposes. We will bear all fees and expenses incident to our obligation to register the</w:t>
            </w:r>
          </w:p>
        </w:tc>
      </w:tr>
      <w:tr>
        <w:trPr>
          <w:trHeight w:val="236"/>
        </w:trPr>
        <w:tc>
          <w:tcPr>
            <w:tcW w:w="2940" w:type="dxa"/>
            <w:vAlign w:val="bottom"/>
          </w:tcPr>
          <w:p>
            <w:pPr>
              <w:spacing w:after="0"/>
              <w:rPr>
                <w:sz w:val="20"/>
                <w:szCs w:val="20"/>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of Common Stock.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more information.</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Trading Symbol</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shares of Common Stock are listed on the Nasdaq Global Market under the symbol “NTHI”.</w:t>
            </w:r>
          </w:p>
        </w:tc>
      </w:tr>
      <w:tr>
        <w:trPr>
          <w:trHeight w:val="41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Investing in these securities involves a high degree of risk. As an investor, you should be able to bear a</w:t>
            </w:r>
          </w:p>
        </w:tc>
      </w:tr>
      <w:tr>
        <w:trPr>
          <w:trHeight w:val="216"/>
        </w:trPr>
        <w:tc>
          <w:tcPr>
            <w:tcW w:w="2940" w:type="dxa"/>
            <w:vAlign w:val="bottom"/>
          </w:tcPr>
          <w:p>
            <w:pPr>
              <w:spacing w:after="0"/>
              <w:rPr>
                <w:sz w:val="18"/>
                <w:szCs w:val="18"/>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complete loss of your investment. You should carefully consider the information set forth in the “</w:t>
            </w:r>
            <w:r>
              <w:rPr>
                <w:rFonts w:ascii="Times New Roman" w:cs="Times New Roman" w:eastAsia="Times New Roman" w:hAnsi="Times New Roman"/>
                <w:sz w:val="18"/>
                <w:szCs w:val="18"/>
                <w:i w:val="1"/>
                <w:iCs w:val="1"/>
                <w:color w:val="auto"/>
              </w:rPr>
              <w:t>Risk</w:t>
            </w:r>
          </w:p>
        </w:tc>
      </w:tr>
      <w:tr>
        <w:trPr>
          <w:trHeight w:val="236"/>
        </w:trPr>
        <w:tc>
          <w:tcPr>
            <w:tcW w:w="2940" w:type="dxa"/>
            <w:vAlign w:val="bottom"/>
          </w:tcPr>
          <w:p>
            <w:pPr>
              <w:spacing w:after="0"/>
              <w:rPr>
                <w:sz w:val="20"/>
                <w:szCs w:val="20"/>
                <w:color w:val="auto"/>
              </w:rPr>
            </w:pPr>
          </w:p>
        </w:tc>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of this prospectus before deciding to invest in our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the following: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2,093,305 shares of Common Stock issuable upon exercise of outstanding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573,666 unvested shares of restricted stock issued pursuant to our 2023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pursuant to a $50 million Equity Purchase Agreement;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249,507 shares of Common Stock reserved for future issuance under our 2023 Equity Incentive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invest you should carefully consider the risks and uncertainties described below and the other information in this prospectus, and under the caption “Risk Factors” in our Annual Report on Form 10-K for the fiscal year ended December 31, 2025 as filed with the SEC on March 31, 2026 and as further amended and filed with the SEC on May 5, 2026, which is incorporated by reference, as well as the other information in this prospectus, before deciding whether to invest in shares of our Common Stock. If any of the following risks actually occur, our business, results of operations and financial condition could be materially adversely affected. In this case, the trading price of our Common Stock would likely decline, and you might lose part or all your investment in our Common Stock. Additional risks not currently known to us or which we consider immaterial based on information currently available to us may also materially adversely affect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Private Placement Financing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 of the Warrant may, at its option, at any time, exercise its Warrant for, Common Stock based on agreed-upon formulas. Any such conversion or exercise will result in significant dilution to our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stockholders may experience significant dilution as a result of our issuance of the Warrant offered hereby. The Warrant is exercisable for five years to purchase up to 277,777 shares of Common Stock at an initial exercise price of $9.00, subject to adjustment under certain circumstances described in the Warrant and will expire on the fifth-year anniversary of the date of issuance. See “</w:t>
      </w:r>
      <w:r>
        <w:rPr>
          <w:rFonts w:ascii="Times New Roman" w:cs="Times New Roman" w:eastAsia="Times New Roman" w:hAnsi="Times New Roman"/>
          <w:sz w:val="18"/>
          <w:szCs w:val="18"/>
          <w:i w:val="1"/>
          <w:iCs w:val="1"/>
          <w:color w:val="auto"/>
        </w:rPr>
        <w:t>Description of Private Placement</w:t>
      </w:r>
      <w:r>
        <w:rPr>
          <w:rFonts w:ascii="Times New Roman" w:cs="Times New Roman" w:eastAsia="Times New Roman" w:hAnsi="Times New Roman"/>
          <w:sz w:val="18"/>
          <w:szCs w:val="18"/>
          <w:color w:val="auto"/>
        </w:rPr>
        <w:t>” for additional information. The issuance of material amounts of Common Stock by us pursuant to the exercise of the Warrant would cause our stockholders to experience significant dilution in their investment in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further issuances of our Common Stock may adversely affect the market price of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filing this prospectus in accordance with the Securities Purchase Agreement entered into with the Selling Stockholder. Any further issuances, or the perception of further issuances, of our Common Stock or securities convertible or exercisable for our Common Stock may cause our share price to decline.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over the use of the net proceeds from the Common Stock issued to the Selling Stockholder following their exercise of the Warrant for cash, if any, and you may not agree with how we use the proceeds and the proceeds may not be invested successfully.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team will have broad discretion as to the use of the net proceeds from the Common Stock issued to the Selling Stockholder following its exercise of Warrant for cash, if any, and we could use such proceeds for purposes other than those contemplated at the time of commencement of this offering. 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States (“U.S.”) government may have certain rights to intellectual property embodied in our current or future drug candidates.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our intellectual property rights were generated through the use of U.S. government funding and are subject to certain federal regulations, such as the Bayh-Dole Act of 1980 (the “Bayh-Dole Act”). Pursuant to the Bayh-Dole Act, the U.S. government may have certain rights to intellectual property embodied in our current or future drug candidates. U.S. government rights in any inventions developed under a government funded program include a non-exclusive, non-transferable, irrevocable worldwide license to use inventions for any government purpose. In addition, under certain limited circumstances, the U.S. government would have the right to require us to grant exclusive, partially exclusive, or non-exclusive licenses to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(referred to as “march-in rights”). The U.S. government also has the right to take title to these inventions, if any, if we fail to disclose the invention to the government or fail to file an application to register the intellectual property within specified time limits. Intellectual property generated under a government funded program is also subject to certain reporting requirements, compliance with which may require us to expend substantial resources. The U.S. government also requires that any products embodying the subject invention or produced through the use of the subject invention be manufactured substantially in the United States. This manufacturing preference requirement can be waived if the owner of the intellectual property can show reasonable but unsuccessful efforts have been made to grant licenses on similar terms to potential licensees that would be likely to manufacture substantially in the United States or that, under the circumstances, domestic manufacture is not commercially feasible. The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outstanding tax liabilities and could be subject to additional tax liabilities.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tax provisions in the United States. In connection with the granting and vesting of restricted stock under our 2023 Equity Incentive Plan to our employees, officers, directors, and advisory board members, we are required to pay federal and state withholding tax. To date, we have not paid such required taxes which to date, with accrued penalties and interest, totals approximately $7.0 million. While we currently do not have sufficient cash to satisfy this obligation, we plan to utilize net proceeds from future offerings of securities to pay such tax in full. However, there can be no assurance that proceeds from the sale of securities further to such offerings, when and if received, will be sufficient to satisfy such obligation or that sufficient proceeds will be received in time to pay such taxes without penalty or interest charges. In the absence of such proceeds, we will be required to secure alternate sources of funding which may not be available on favorable terms or at all. Without adequate monies to cover such taxes, we not only will continue to incur additional penalties and interest charges, but we may be subject to collection actions by state and federal taxing authorities. There can be no assurance that such penalties will not be substantial or that collection actions, if initiated, will not have a material adverse effect on our financial condition or results of operations.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may, or may not, elect to sell shares of our Common Stock covered by this prospectus. To the extent the Selling Stockholder chooses to sell shares of our Common Stock covered by this prospectus, we will not receive any proceeds from any such sales of our Common Stock, although we will receive the exercise price of the Warrant if not exercised by the Selling Stockholder on a cashless exercise basis. Any proceeds received by us from the exercise of the Warrant will be used for general corporate purposes. We will bear all fees and expenses incident to our obligation to register the shares of Common Stock.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PRIVATE PLACEMENT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2026, the Company entered into Securities Purchase Agreements (the “Agreements”) to issue and sell up to 2,222,222 shares of Common Stock at a per share purchase price of $7.20 (the “Shares”) and five-year warrants to purchase up to 2,222,222 shares of Common Stock at a per share exercise price of $9.00 (the “Warrants” and together with the Shares, the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closing further to the Agreement consisted of the issuance of 1,388,888 Shares and Warrants to purchase 1,388,888 shares of Common Stock to a single institutional investor at a purchase price of $10 million. The subsequent closing further to the Agreement consisted of the issuance of 86,361 Shares and Warrants to purchase 86,361 shares of Common Stock to three investors at an aggregate purchase price of $621,804.11. The offering of Securities further to the Agreement terminated on January 31,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2026, the Company entered into a second Securities Purchase Agreement to issue and sell up to the remaining 746,973 Shares at the same per Share purchase price of $7.20 and Warrants to purchase up to 746,973 shares of Common Stock at the same per share exercise price of $9.00. The initial closing further to this second Securities Purchase Agreement took place on February 25, 2026, and consisted of the issuance of an aggregate of 201,390 Shares and Warrants to purchase 201,390 shares of Common Stock to four investors at a combined purchase price of $1,450,004. The offering of Securities further to the second Securities Purchase Agreement terminated on February 28, 2026.</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20, 2026, the Company entered into a third Securities Purchase Agreement to issue and sell up to the remaining 545,583 Shares at the same per Share purchase price of $7.20 and Warrants to purchase up to 545,583 shares of Common Stock at the same per share exercise price of $9.00. The initial closing further to this third Securities Purchase Agreement took place on March 20, 2026, and consisted of the issuance of an aggregate of 138,889 Shares and Warrants to purchase 138,889 shares of Common Stock to one investor at a purchase price of $1,000,000. This third Securities Purchase Agreement contains customary representations, warranties and agreements of the Company, customary conditions to closing and obligations of the parties and the offering of Securities further to the third Securities Purchase Agreement terminated on April 30, 2026.</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20, 2026, the Company entered into a fourth Securities Purchase Agreement to issue and sell up to the remaining 406,694 Shares at the same per Share purchase price of $7.20 and Warrants to purchase up to 406,694 shares of Common Stock at the same per share exercise price of $9.00. The initial closing further to this fourth Securities Purchase Agreement took place on April 20, 2026, and consisted of the issuance of an aggregate of 277,777 Shares and a Warrant to purchase 277,777 shares of Common Stock to one investor at a purchase price of approximately $2,000,000. This fourth Securities Purchase Agreement contains customary representations, warranties and agreements of the Company, customary conditions to closing and obligations of the parties and the offering of Securities further to the fourth Securities Purchase Agreement terminated on April 30, 2026. The registration statement/prospectus is hereby filed to register the 277,777 shares of Common Stock and 277,777 shares of Common Stock issuable upon exercise of the Warrant.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terms and provisions of the Warrants. The summary is not complete and is subject to and qualified in its entirety by the provisions of the form of Warrant, which is filed as an exhibit to the registration statement of which this prospectus forms a part. Prospective investors should carefully review the terms and provisions set forth in the form of Warrant.</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Warrants expire five (5) years from the date of issuance. The Warrants are exercisable, at the option of each holder, in whole or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delivering to us a duly executed exercise notice and, at any time a registration statement registering the issuance of the shares of Common Stock underlying the Warrants under the Securities Act of 1933, as amended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Warrants under the Securities Act is not effective, the holder may elect to exercise the Warrants through a cashless exercise, in which case the holder would receive upon such exercise the net number of shares of Common Stock determined according to the formula set forth in the Warrant. No fractional shares of Common Stock will be issued in connection with the exercise of Warrants. In lieu of fractional shares, we will pay the holder an amount in cash equal to the fractional amount multiplied by the exercise price or round up to the next whole share.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does not have the right to exercise any portion of the Warrants if the holder (together with its affiliates) would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in excess of 9.99% of the number of shares of our Common Stock outstanding immediately after giving effect to the exercise, as such percentage ownership is determined in accordance with the terms of the Warrants.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whole share of Common Stock purchasable upon exercise of the Warrants is $9.00. The exercise price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price adjustment in the event of certain issuances of securities below the exercise price of the Warrants and price adjustment in the event of certain stock dividends and distributions, stock splits, stock combinations, reclassifications or similar events affecting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Agreements and the Warrants do not purport to be complete and are qualified in their entirety by reference to the full text of the forms of Agreement filed as Exhibits 10.1, 10.2, 10.3 and 10.4 hereto, and the forms of Warrant filed as 4.8, 4.9, 4.10 and 4.11 hereto, and incorporated by reference herein.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being offered by Selling Stockholder are the Shares. For additional information regarding the transactions in which the shares of Common Stock were issued, refer the section entitled “</w:t>
      </w:r>
      <w:r>
        <w:rPr>
          <w:rFonts w:ascii="Times New Roman" w:cs="Times New Roman" w:eastAsia="Times New Roman" w:hAnsi="Times New Roman"/>
          <w:sz w:val="18"/>
          <w:szCs w:val="18"/>
          <w:i w:val="1"/>
          <w:iCs w:val="1"/>
          <w:color w:val="auto"/>
        </w:rPr>
        <w:t>Description of Private Placement”</w:t>
      </w:r>
      <w:r>
        <w:rPr>
          <w:rFonts w:ascii="Times New Roman" w:cs="Times New Roman" w:eastAsia="Times New Roman" w:hAnsi="Times New Roman"/>
          <w:sz w:val="18"/>
          <w:szCs w:val="18"/>
          <w:color w:val="auto"/>
        </w:rPr>
        <w:t xml:space="preserve"> and description of the Securities Purchase Agreement dated April 20,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shares of Common Stock in order to permit the Selling Stockholder to offer its shares of Common Stock for resale from time to time pursuant to the Securities Purchase Agreement dated April 20, 2026. Except for the ownership of the securities issued in the Private Placement, the Selling Stockholder has not had any material relationship with us within the past three years.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(as determined under Section 13(d) of the Securities Exchange Act of 1934, as amended, and the rules and regulations thereunder) of the shares of Common Stock held by the Selling Stockholder. The second column lists the number of shares of Common Stock beneficially owned by the Selling Stockholder, based on the Selling Stockholder’s ownership of securities issued in the Private Placement held by such Selling Stockholder on that date but taking account of any limitations on conversion and exercise set forth therein.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 and does not take into account any limitations on exercise of the warrants set forth therein.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Securities Purchase Agreement dated April 20, 2026 with the Selling Stockholder, this prospectus generally covers the resale of the sum of shares of Common Stock, and the maximum number of shares of Common Stock issued or issuable upon exercise of the Warrant, determined as if the outstanding Warrant were exercised in full (without regard to any limitations on conversion or exercise contained therein solely for the purpose of such calculation) at the exercise price calculated as of the trading day immediately preceding the date this registration statement was initially filed with the SEC. Because the exercise price of the Warrant may be adjusted, the number of shares that will actually be issued may be more or less than the number of shares being offered by this prospectus. The fourth column assumes the sale of all of the shares offered by the Selling Stockholder pursuant to this prospectus. Under the terms of the Warrant, the Selling Stockholder may not exercise the Warrant to the extent (but only to the extent) such Selling Stockholder or any of its affiliates would beneficially own a number of our Common Stock which would exceed 4.99% or 9.99% of our outstanding shares (the “Maximum Percentage”). The number of shares in the second column reflects these limitations. The Selling Stockholder may sell all, some or none of its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85"/>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85"/>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245"/>
              <w:spacing w:after="0" w:line="184" w:lineRule="exact"/>
              <w:rPr>
                <w:sz w:val="20"/>
                <w:szCs w:val="20"/>
                <w:color w:val="auto"/>
              </w:rPr>
            </w:pPr>
            <w:r>
              <w:rPr>
                <w:rFonts w:ascii="Times New Roman" w:cs="Times New Roman" w:eastAsia="Times New Roman" w:hAnsi="Times New Roman"/>
                <w:sz w:val="18"/>
                <w:szCs w:val="18"/>
                <w:b w:val="1"/>
                <w:bCs w:val="1"/>
                <w:color w:val="auto"/>
              </w:rPr>
              <w:t>Common</w:t>
            </w:r>
          </w:p>
        </w:tc>
        <w:tc>
          <w:tcPr>
            <w:tcW w:w="2600" w:type="dxa"/>
            <w:vAlign w:val="bottom"/>
            <w:gridSpan w:val="4"/>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Common Stock</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of 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 Owned Prior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the Maximum Number of</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to Effective Date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Offered</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3"/>
          </w:tcPr>
          <w:p>
            <w:pPr>
              <w:jc w:val="center"/>
              <w:ind w:left="70"/>
              <w:spacing w:after="0" w:line="270" w:lineRule="exact"/>
              <w:rPr>
                <w:sz w:val="20"/>
                <w:szCs w:val="20"/>
                <w:color w:val="auto"/>
              </w:rPr>
            </w:pPr>
            <w:r>
              <w:rPr>
                <w:rFonts w:ascii="Times New Roman" w:cs="Times New Roman" w:eastAsia="Times New Roman" w:hAnsi="Times New Roman"/>
                <w:sz w:val="18"/>
                <w:szCs w:val="18"/>
                <w:b w:val="1"/>
                <w:bCs w:val="1"/>
                <w:color w:val="auto"/>
                <w:w w:val="96"/>
              </w:rPr>
              <w:t>this Prospectus</w:t>
            </w:r>
            <w:r>
              <w:rPr>
                <w:rFonts w:ascii="Times New Roman" w:cs="Times New Roman" w:eastAsia="Times New Roman" w:hAnsi="Times New Roman"/>
                <w:sz w:val="29"/>
                <w:szCs w:val="29"/>
                <w:b w:val="1"/>
                <w:bCs w:val="1"/>
                <w:color w:val="auto"/>
                <w:w w:val="96"/>
                <w:vertAlign w:val="superscript"/>
              </w:rPr>
              <w:t>(1)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Hereby are Sold</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3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64K Capital, LLC </w:t>
            </w:r>
            <w:r>
              <w:rPr>
                <w:rFonts w:ascii="Times New Roman" w:cs="Times New Roman" w:eastAsia="Times New Roman" w:hAnsi="Times New Roman"/>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555,554</w:t>
            </w:r>
          </w:p>
        </w:tc>
        <w:tc>
          <w:tcPr>
            <w:tcW w:w="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555,554</w:t>
            </w:r>
          </w:p>
        </w:tc>
        <w:tc>
          <w:tcPr>
            <w:tcW w:w="3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25,933,365 shares of our Common Stock outstanding as of June 12, 2026.</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64K Capital, LLC is 3889 Maple Ave, Suite 500, Dallas, Texas 75219.</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lists the number of Common Stock beneficially owned by the Selling Stockholder as of June 12, 2026, consisting of 277,777 shares of Common Stock and 277,777 shares of Common Stock issuable upon exercise of the Warrant.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Amended and Restated Certificate of Incorporation and Amended and Restated Bylaws.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and certain provisions of our amended and restated certificate of incorporation and amended and restated bylaws. This summary does not purport to be complete and is qualified in its entirety by the provisions of our amended and restated certificate of incorporation and amended and restated bylaws, copies of which have been filed as exhibits to the Registration Statement of which this prospectus is a part, and by the applicable provisions of Delaware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110,000,000 shares of capital stock, of which (i) 100,000,000 shares are Common Stock with a par value $0.0001 per share and (ii) 10,000,000 shares are preferred stock with a par value of $0.0001 per share. All of our authorized shares of preferred stock are undesignated. As of April 30, 2026, there are 25,194,259 shares of Common Stock and no shares of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to be voted upon by the shareholders, including the election of directors. Such holders are not entitled to vote cumulatively for the election of directors.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shareholders, with the directors in the other classes continuing for the remainder of their respective three-year terms.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and our amended and restated certificate of incorporation, the classified structure of our board of directors, the size of our board of directors, removal of directors, director liability, vacancies on our board of directors, special meetings, shareholder notices, actions by written consent, and exclusive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our common shareholders are entitled to receive ratably such dividends, if any, as may be declared from time to time by the board of directors out of funds legally available for that purpose. We have never declared or paid any cash dividends on our capital stock. We currently expect to retain future earnings, if any, to finance the growth and development of our business and do not anticipate paying any cash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our common shareholders are entitled to share ratably in all assets remaining after payment of liabilities, subject to prior distribution rights of preferred stock, if any,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shareholders have no preemptive or conversion rights or other subscription rights. There are no redemption or sinking fund provisions applicable to the Common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is authorized, without action by the shareholders, to designate and issue up to 10,000,000 shares of preferred stock in one or more series and to designate the powers, preferences and rights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dividend rights of the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us without further action by the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registration statement, 6,000 shares of Series A Convertible Preferred Stock (“Series A Preferred Stock”) are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 Par Value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Series A Preferred Certificate of Designation, we authorized 6,000 Series A Preferred Shares, par value $0.0001 per share. Each share of the Series A Preferred Stock has a stated value of $1,000.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Series A Preferred Stock have no voting rights except as required by applicable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and Liquidation Preference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Preferred Stock ranks senior to the Company’s common stock and any junior securities, on parity with any parity securities, and junior to any senior securities with respect to dividends and distributions upon liquidation, dissolution or winding up of the Company. In the event of a liquidation event, the holders of the Series A Preferred Stock shall be entitled to receive in cash out of the assets of the Company, whether from capital or from earnings available for distribution to its stockholders, before any amount shall be paid to the holders of any of shares of junior securities, but pari passu with any parity securities then outstanding, an amount per share of the Series A Preferred Stock equal to the conversion amount as defined in the Certificate of Designation.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Conversion only in the Event of an Election not to Redeem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the right to redeem all of the Series A Preferred Stock at the then stated value on or before a date that is four months from the date of issuance (with two options to extend for an additional one month at the Company’s discretion, with each extension adding $50.00 per share to the then stated value of such Series A Preferred Stocks). Only in the event that the Company elects not to redeem all of the Series A Preferred Stock on or before said date(s), then an additional $166.67 per share shall be added to the then stated value of such shares and each share of Series A Preferred Stock shall then become convertible, at the option of the holder, into that number of shares of common stock (subject to the beneficial ownership limitation) determined by dividing the then stated value of such share by the conversion price, which will be 80% of the lowest closing price of the Company’s common stock during the five trading days prior to conversion, subject to a floor price of $1.00 and subject to adjustment for reverse and forward stock splits, stock dividends and other similar transactions. Conversion is subject to a 19.99% beneficial ownership limitation unless stockholder approval is obtained.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not effect any conversion of the Series A Preferred Stock, and a holder shall not have the right to convert any portion of the Series A Preferred Stock, to the extent that after giving effect to the conversion sought by the holder such holder (together with such holder’s affiliates) would beneficially own more than 4.99% (or upon election by a holder, 9.99%) of the number of shares of common stock outstanding immediately after giving effect to the issuance of shares of common stock issuable upon such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2022, NeOnc Technologies, Inc. issued a $50,000 convertible note to a shareholder due August 30, 2023 (“Note”). The Note bears interest at 2% per annum and is convertible. The Note and all accrued interest thereon is convertible, at the option of the noteholder, into the class and series of equity securities (“Conversion Stock”) that is sold by us in its next issuance of equity securities in a Financing Transaction (as defined below), consummated after the issuance date of the note. A Financing Transaction is a sale, other than in an initial public offering, of equity securities by us to investors for cash. The Financing Transaction does not include the issuance of stock, options, or warrants to service providers in connection with the rendition of such services or to third parties in connection with the contribution of non-cash assets to us. The number of shares of Conversion Stock to be issued to the noteholder upon such conversion shall be equal to the quotient obtained by dividing (i) the entire principal amount of the Note plus accrued interest by (ii) the Financing Transaction conversion price, which shall be equal to 75% of the price paid for one share of Conversion Stock by the investors in the Financing Transaction. The entire principal amount of and accrued interest of the Note shall automatically be converted, without further action on the part of the noteholder or us, into the class and series of stock issued by us, at the closing of an initial public offering. The number of shares of stock to be issued to the holder upon such conversion shall be equal to the quotient obtained by dividing (i) the entire principal amount of the Note plus accrued interest by (ii) the initial public offering conversion price, which shall be equal to 75% of the price paid for one share of Conversion Stock by the investors in the initial public offering. On January 31, 2024, the Note was assigned to HCWG LLC (an entity owned by certain shareholders, directors, and officers of the Company). Additionally, as part of the assignment, the Note was amended to increase the principal balance to $62,500, amend the maturity date to the date that the Company completes its initial public offering, and the Note was subordinated to the Bridge Loan.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2026, warrants to purchase 2,093,305 shares of our common stock with an exercise price per share of $9.00 were outstanding (the “Warrants”). The Warrants were issued on January 29, 2026, February 24, 2026, March 20, 2026, and April 20, 2026. The following is a summary of certain terms and provisions of the Warrants, and the summary is not complete and is subject to and qualified in its entirety by the provisions of the form of Warrant:</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Warrants expire five (5) years from the date of issuance. The Warrants are exercisable, at the option of each holder, in whole or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delivering to us a duly executed exercise notice and, at any time a registration statement registering the issuance of the shares of Common Stock underlying the Warrants under the Securities Act of 1933, as amended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Warrants under the Securities Act is not effective, the holder may elect to exercise the Warrants through a cashless exercise, in which case the holder would receive upon such exercise the net number of shares of Common Stock determined according to the formula set forth in the Warrant. No fractional shares of Common Stock will be issued in connection with the exercise of Warrants. In lieu of fractional shares, we will pay the holder an amount in cash equal to the fractional amount multiplied by the exercise price or round up to the next whole share.</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does not have the right to exercise any portion of the Warrants if the holder (together with its affiliates) would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in excess of 9.99% of the number of shares of our Common Stock outstanding immediately after giving effect to the exercise, as such percentage ownership is determined in accordance with the terms of the Warrants.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9" w:name="page20"/>
    <w:bookmarkEnd w:id="1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whole share of Common Stock purchasable upon exercise of the Warrants is $9.00. The exercise price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price adjustment in the event of certain issuances of securities below the exercise price of the Warrants and price adjustment in the event of certain stock dividends and distributions, stock splits, stock combinations, reclassifications or similar events affecting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our shareholders do not have cumulative voting rights, our shareholders holding a plurality of the outstanding shares of Common Stock outstanding will be able to elect all of our directors. Our amended and restated certificate of incorporation and our amended and restated bylaws provide for shareholder actions at a duly called meeting of shareholders. A special meeting of shareholders may be called by a majority of our board of directors, the chair of our board of directors, or our chief executive officer or president. Our amended and restated bylaws will establish an advance notice procedure for shareholder proposals to be brought before an annual meeting of our shareholders, including proposed nominations of persons for election to our board of directors.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provisions will make it more difficult for our existing shareholders to replace our Board of Directors as well as for another party to obtain control of us by replacing our Board of Directors. Since our board of directors has the power to retain and discharge our officers, these provisions could also make it more difficult for existing shareholders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shareholder for a period of three years after the date that such shareholder became an interested shareholder, with the following exceptions:</w:t>
      </w:r>
    </w:p>
    <w:p>
      <w:pPr>
        <w:spacing w:after="0" w:line="176"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shareholder becoming an interested shareholder;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shareholder becoming an interested shareholder, the interested shareholder owned at least 85% of the voting stock of the corporation outstanding at the time the transaction began, excluding for purposes of determining the voting stock outstanding (but not the outstanding voting stock owned by the interested shareholder)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shareholders, and not by written consent, by the affirmative vote of at least 66 2∕3% of the outstanding voting stock that is not owned by the interested shareholder.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shareholder;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shareholder;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shareholder;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shareholder of the benefit of any loss, advances, guarantees, pledges or other financial benefits by or through the corporation.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shareholder” as an entity or person who, together with the person’s affiliates and associates, beneficially owns, or within three years prior to the time of determination of interested shareholder status did own, 15% or more of the outstanding voting stock of the corporation.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Exclusive forum for adjudication of disputes provision which limits the forum to the Delaware Court of Chancery for certain shareholder litigation matters actions against us, which may limit an investor’s ability to obtain a favorable judicial forum for disputes with us or our directors, officers, employees or shareholders.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bylaws dictate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our behalf; an action asserting a breach of fiduciary duty owed by any current or former officer, director, employee or to the shareholders of our company; any claim arising under Delaware corporate law, our certificate of incorporation or our bylaws, as amended from time to time; and any action asserting a claim governed by the internal affairs doctrine. Any person or entity purchasing or otherwise acquiring any interest in shares of capital stock of our company shall be deemed to have notice of and consented to the provisions of our amended and restated bylaws.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this provision of our amended and restated bylaws will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unless we consent in writing to the selection of an alternative forum, the federal district courts of the United States of America will be the exclusive forum for the resolution of any complaint asserting a cause of action arising under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Delaware corporation is allowed to mandate in its corporate governance documents a chosen forum for the resolution of state law-based shareholder actions, derivative suits and other intra-corporate disputes. With respect to such state law claims, our management believes limiting state law 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The choice of forum provisions contained in our amended and restated bylaws may limit a shareholder’s ability to bring a claim in a judicial forum that it finds favorable for disputes with our company or any of our directors, officers, other employees or shareholders,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our company, a court could find the choice of forum provisions contained in our bylaws, as amended. to be inapplicable or unenforceable in such action. As a result, we could incur additional costs associated with resolving such actions in other jurisdictions, which could harm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appointed VStock Transfer LLC, 18 Lafayette Pl Woodmere, NY 11598, telephone: (212) 828-8436, as the transfer agent for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Nasdaq Global Market under the symbol “NTHI”.</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of the securities and any of its pledgees, assignees and successors-in-interest may, from time to time, sell any or all of their securities covered hereby on the Nasdaq Global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securities under Rule 144 or any other exemption from registration under the Securities Act of 1933, as amended (the “Securities Act”),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shares of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Common Stock offered hereby will be passed upon for us by Manatt, Phelps &amp; Phillips, LLP, Costa Mesa, California.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financial statements of NeOnc Technologies Holdings Inc. incorporated in this prospectus by reference to the Annual Report on Form 10-K for the year ended December 31, 2025 have been so incorporated in reliance on (i) the report of CBIZ CPAs P.C., an independent registered public accounting firm, given on the authority of said firm as experts in auditing and accounting, with respect to the financial statements of the Company for the year ended December 31, 2025, and (ii) the report of Marcum LLP, an independent registered public accounting firm, given on the authority of said firm as experts in auditing and accounting, with respect to the financial statements of the Company for the year ended December 31, 2024. Such financial reports are incorporated by reference in reliance upon the reports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http://www.sec.gov.</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SEC filings, including the registration statement on Form S-3 and the exhibits filed with the registration statement, are also available from the SEC’s website at www.sec.gov, which contains reports, proxy and information statements and other information regarding issuers that file electronically with the SEC. Additionally, we will make these filings available, free of charge, on our website at </w:t>
      </w:r>
      <w:r>
        <w:rPr>
          <w:rFonts w:ascii="Times New Roman" w:cs="Times New Roman" w:eastAsia="Times New Roman" w:hAnsi="Times New Roman"/>
          <w:sz w:val="18"/>
          <w:szCs w:val="18"/>
          <w:i w:val="1"/>
          <w:iCs w:val="1"/>
          <w:u w:val="single" w:color="auto"/>
          <w:color w:val="auto"/>
        </w:rPr>
        <w:t>www.neonc.com</w:t>
      </w:r>
      <w:r>
        <w:rPr>
          <w:rFonts w:ascii="Times New Roman" w:cs="Times New Roman" w:eastAsia="Times New Roman" w:hAnsi="Times New Roman"/>
          <w:sz w:val="18"/>
          <w:szCs w:val="18"/>
          <w:color w:val="auto"/>
        </w:rPr>
        <w:t xml:space="preserve"> as soon as reasonably practicable after we electronically file such materials with, or furnish them to, the SEC. The information on our website, other than these filings, is not, and should not be, considered part of this prospectus and is not incorporated by reference into this document.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8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as filed with the SEC on March 31, 2026 and as further amended on </w:t>
      </w:r>
      <w:hyperlink r:id="rId45">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filed with the SEC on May 5,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as filed with the SEC on May 15,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7">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April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9">
        <w:r>
          <w:rPr>
            <w:rFonts w:ascii="Times New Roman" w:cs="Times New Roman" w:eastAsia="Times New Roman" w:hAnsi="Times New Roman"/>
            <w:sz w:val="18"/>
            <w:szCs w:val="18"/>
            <w:u w:val="single" w:color="auto"/>
            <w:color w:val="0000EE"/>
          </w:rPr>
          <w:t>June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the information furnished under Items 2.02 or 7.01 and the exhibits under Item 9.01 thereto);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the Registrant’s Annual Report on </w:t>
      </w:r>
      <w:hyperlink r:id="rId4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filed on March 31, 2026, as amended by our Current Reports on </w:t>
      </w:r>
      <w:hyperlink r:id="rId5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12, 2026 (File No.: 001-42567), and any amendment, supplements or report filed with the SEC for the purpose of updating such description, including Exhibit 4.1 to the Annual Report.</w:t>
      </w:r>
    </w:p>
    <w:p>
      <w:pPr>
        <w:spacing w:after="0" w:line="180"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any information furnished pursuant to Items 2.02 or 7.01 of Form 8-K or related exhibits furnished pursuant to Item 9.01 of Form 8-K. Any statement contained in a document incorporated or deemed to be incorporated by reference herein shall be deemed to be modified or superseded for purposes of the registration statement of which this prospectus forms a part to the extent that a statement contained in any subsequently filed document, which also is deemed to be incorporated by reference herein, modifies or supersedes such statement.</w:t>
      </w:r>
    </w:p>
    <w:p>
      <w:pPr>
        <w:spacing w:after="0" w:line="189"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any or all of the documents incorporated herein by reference. These documents will be provided to you at no cost, by calling us at (310) 663-7831 or by contacting: 23975 Park Sorrento, Suite 205 Calabasas, California 91302, Attn: Corporate Secretary. In addition, copies of any or all of the documents incorporated herein by reference may be accessed at our website at </w:t>
      </w:r>
      <w:r>
        <w:rPr>
          <w:rFonts w:ascii="Times New Roman" w:cs="Times New Roman" w:eastAsia="Times New Roman" w:hAnsi="Times New Roman"/>
          <w:sz w:val="18"/>
          <w:szCs w:val="18"/>
          <w:i w:val="1"/>
          <w:iCs w:val="1"/>
          <w:color w:val="auto"/>
        </w:rPr>
        <w:t>www.neonc.com</w:t>
      </w:r>
      <w:r>
        <w:rPr>
          <w:rFonts w:ascii="Times New Roman" w:cs="Times New Roman" w:eastAsia="Times New Roman" w:hAnsi="Times New Roman"/>
          <w:sz w:val="18"/>
          <w:szCs w:val="18"/>
          <w:color w:val="auto"/>
        </w:rPr>
        <w:t>. The information contained on, or that can be accessed through, our website is not a part of this prospectus, and our reference to the address for our website is intended to be an inactive textual reference only.</w:t>
      </w:r>
    </w:p>
    <w:p>
      <w:pPr>
        <w:spacing w:after="0" w:line="29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2702560</wp:posOffset>
            </wp:positionH>
            <wp:positionV relativeFrom="page">
              <wp:posOffset>1914525</wp:posOffset>
            </wp:positionV>
            <wp:extent cx="2143125" cy="668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555,554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432435</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________________,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1398905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1424305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1784350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340.26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 (if applicable)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depend on the securities offered and the number of issuances, and accordingly cannot be estimated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102 of the DGCL permits a corporation to eliminate the personal liability of directors of a corporation to the corporation or its shareholders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 director of the registrant shall be personally liable to it or its shareholders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pending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bylaws authorize the indemnification of our officers and directors, consistent with Section 145 of the DGCL, as amended. 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shareholders,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0" w:type="dxa"/>
            <w:vAlign w:val="bottom"/>
            <w:gridSpan w:val="14"/>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21"/>
            <w:shd w:val="clear" w:color="auto" w:fill="CCEEFF"/>
          </w:tcPr>
          <w:p>
            <w:pPr>
              <w:spacing w:after="0" w:line="169"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Certificate of Incorporation (incorporated by reference to Exhibit 3.1 filed on Form 8-K filed by the Registrant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March 27,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Bylaws (incorporated by reference to Exhibit 3.2 filed on Form 8-K filed by the Registrant on March 27,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Designation for the Series A Convertible Preferred Share (incorporated by reference to Exhibit 3.1 filed on Form 8-K filed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the Registrant on June 12, 2026)</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Description of Securities (incorporated by reference to Exhibit 4.1 filed on Form 10-K filed by the Registrant on March 31, 2026)</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Common Stock Certificate (incorporated by reference to Exhibit 4.1 filed with the Registration Statement on Form S-1 filed by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Registrant on January 3, 2025)</w:t>
              </w:r>
            </w:hyperlink>
          </w:p>
        </w:tc>
        <w:tc>
          <w:tcPr>
            <w:tcW w:w="7880" w:type="dxa"/>
            <w:vAlign w:val="bottom"/>
            <w:tcBorders>
              <w:bottom w:val="single" w:sz="8" w:color="CCEEFF"/>
            </w:tcBorders>
            <w:gridSpan w:val="16"/>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Fourth Amended &amp; Restated Promissory Note, dated December 4, 2023, by NeOnc Technologies Holdings, Inc. and Holders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by reference to Exhibit 4.2 filed with the Registration Statement on Form S-1 filed by the Registrant on January 3,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Promissory Note, dated October 11, 2024, by NeOnc Technologies Holdings, Inc. and HCWG LLC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filed with the Registration Statement on Form S-1 filed by the Registrant on January 3, 2025)</w:t>
              </w:r>
            </w:hyperlink>
          </w:p>
        </w:tc>
        <w:tc>
          <w:tcPr>
            <w:tcW w:w="3100" w:type="dxa"/>
            <w:vAlign w:val="bottom"/>
            <w:tcBorders>
              <w:bottom w:val="single" w:sz="8" w:color="CCEEFF"/>
            </w:tcBorders>
            <w:gridSpan w:val="11"/>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Common Stock Purchase Warrant, dated October 11, 2024, by NeOnc Technologies Holdings, Inc. and HCWG LLC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reference to Exhibit 4.4 filed with the Registration Statement on Form S-1 filed by the Registrant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Promissory Note, dated February 25, 2025, by NeOnc Technologies Holdings, Inc. and Amir Heshmatpour (incorporated by reference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76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Exhibit 4.5 filed with the Registration Statement on Form S-1 filed by the Registrant on February 26, 2025)</w:t>
              </w:r>
            </w:hyperlink>
          </w:p>
        </w:tc>
        <w:tc>
          <w:tcPr>
            <w:tcW w:w="234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Convertible Promissory Note (incorporated by reference to Exhibit 4.1 filed on Form 8-K filed by the Registrant on July 22,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Warrant (incorporated by reference to Exhibit 4.1 filed on Form 8-K filed by the Registrant on January 29, 2026)</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tcPr>
          <w:p>
            <w:pPr>
              <w:spacing w:after="0"/>
              <w:rPr>
                <w:sz w:val="15"/>
                <w:szCs w:val="15"/>
                <w:color w:val="auto"/>
              </w:rPr>
            </w:pPr>
          </w:p>
        </w:tc>
        <w:tc>
          <w:tcPr>
            <w:tcW w:w="8760" w:type="dxa"/>
            <w:vAlign w:val="bottom"/>
            <w:tcBorders>
              <w:top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Warrant (incorporated by reference to Exhibit 4.1 filed on Form 8-K filed by the Registrant on March 3, 2026)</w:t>
              </w:r>
            </w:hyperlink>
          </w:p>
        </w:tc>
        <w:tc>
          <w:tcPr>
            <w:tcW w:w="1340" w:type="dxa"/>
            <w:vAlign w:val="bottom"/>
            <w:tcBorders>
              <w:top w:val="single" w:sz="8" w:color="CCEEFF"/>
            </w:tcBorders>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17"/>
                <w:szCs w:val="17"/>
                <w:color w:val="auto"/>
              </w:rPr>
            </w:pPr>
          </w:p>
        </w:tc>
        <w:tc>
          <w:tcPr>
            <w:tcW w:w="86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Warrant (incorporated by reference to Exhibit 4.1 filed on Form 8-K filed by the Registrant on March 23, 2026)</w:t>
              </w:r>
            </w:hyperlink>
          </w:p>
        </w:tc>
        <w:tc>
          <w:tcPr>
            <w:tcW w:w="1420" w:type="dxa"/>
            <w:vAlign w:val="bottom"/>
            <w:tcBorders>
              <w:bottom w:val="single" w:sz="8" w:color="CCEEFF"/>
            </w:tcBorders>
            <w:gridSpan w:val="7"/>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Warrant (incorporated by reference to Exhibit 4.1 filed on Form 8-K filed by the Registrant on April 24,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Manatt, Phelps &amp; Phillips, LLP</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Securities Purchase Agreement (incorporated by reference to Exhibit 10.1 filed on Form 8-K filed by the Registrant on January 29,</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2026)</w:t>
              </w:r>
            </w:hyperlink>
          </w:p>
        </w:tc>
        <w:tc>
          <w:tcPr>
            <w:tcW w:w="6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Securities Purchase Agreement (incorporated by reference to Exhibit 10.1 filed on Form 8-K filed by the Registrant on March 3,</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2026)</w:t>
              </w:r>
            </w:hyperlink>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Securities Purchase Agreement (incorporated by reference to Exhibit 10.1 filed on Form 8-K filed by the Registrant on March 23,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2026)</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Securities Purchase Agreement (incorporated by reference to Exhibit 10.1 filed on Form 8-K filed by the Registrant on April 24,</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2026)</w:t>
              </w:r>
            </w:hyperlink>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Consent of Manatt, Phelps &amp; Phillips, LLP (included in Exhibit 5.1)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CBIZ CPAs P.C.</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CEEFF"/>
            </w:tcBorders>
          </w:tcPr>
          <w:p>
            <w:pPr>
              <w:spacing w:after="0"/>
              <w:rPr>
                <w:sz w:val="15"/>
                <w:szCs w:val="15"/>
                <w:color w:val="auto"/>
              </w:rPr>
            </w:pPr>
          </w:p>
        </w:tc>
        <w:tc>
          <w:tcPr>
            <w:tcW w:w="20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w:t>
            </w:r>
          </w:p>
        </w:tc>
        <w:tc>
          <w:tcPr>
            <w:tcW w:w="8080" w:type="dxa"/>
            <w:vAlign w:val="bottom"/>
            <w:tcBorders>
              <w:top w:val="single" w:sz="8" w:color="CCEEFF"/>
            </w:tcBorders>
            <w:gridSpan w:val="17"/>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Powers of Attorney (included on signature page to this Registration Statement)</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140" w:hanging="113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undertakings set forth in paragraphs (1)(i), (1)(ii) and (1)(iii)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Los Angeles, California, on June 15,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Amir Heshmatpour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Amir Heshmatpour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NeOnc Technologies Holdings, Inc., hereby severally constitute and appoint Amir Heshmatpour and Keithly Garnett,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without limitation,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she or he might or could do in person, hereby ratifying and confirming all that said attorneys-in-fact and agents or any of them or their or her or his substitute or substitutes may lawfully do or cause to be done by virtue hereof.</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Amir Heshmatpour</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Executive Chairman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Amir Heshmatpour</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Keithly Garnett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Keithly Garnett</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Suh</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David Suh</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 Dr. Thomas Chen</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Scientific Officer, Chief Medical Officer and Vice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39"/>
        </w:trPr>
        <w:tc>
          <w:tcPr>
            <w:tcW w:w="45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 Thomas Chen</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Ming-Fu Chiang</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 Ming-Fu Chiang</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Victoria Medvec</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Victoria Medvec</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Steven L. Giannotta</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 Steven L. Giannotta</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Bader Al Monawer</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Bader Al Monawer</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Jim Delshad</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Jim Delshad</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II-6</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85875" cy="52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NeOnc Technologies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23975 Park Sorrento, Suite 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Calabasas, California 91302</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counsel to NeOnc Technologies Holdings, Inc., a Delaware corporation (the “Company”), in connection with the preparation and filing of a Registration Statement on Form S-3 (the “Registration Statement”) with the Securities and Exchange Commission (the “Commission”) under the Securities Act of 1933, as amended (the “Securities Act”), including a related prospectus filed with the Registration Statement (the “Prospectus”) relating to the registration of 555,554 shares (the “Shares”) of the Company’s common stock, par value $0.0001 (“Common Stock”), consisting of 277,777 shares of Common Stock and warrant (“Warrant”) to purchase 277,777 shares of Common Stock (“Warrant Shares”), for resale from time to time, pursuant to Rule 415 promulgated under the Securities Act by the selling stockholder as defined and listed in the Registration Statement under “Selling Stockholder” (the “Selling Stockholder”). The Shares may be sold by the Selling Stockholder as set forth in the Registration Statement.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are being registered pursuant to registration rights of the holders thereto under the securities purchase agreements dated April 20, 2026, entered into with the Selling Stockholder (the “SPA”). This opinion is being furnished in accordance with the requirements of Item 601(b)(5) of Regulation S-K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such counsel and for purposes of our opinion set forth below, we have examined originals or copies, certified or otherwise identified to our satisfaction, of such documents, resolutions, certificates and instruments of the Company and corporate records furnished to us by the Company, certificates of public officials, statutes, records and such other instruments and documents as we have deemed necessary or appropriate as a basis for the opinion set forth below, including without limitation the Amended and Restated Certificate of Incorporation of the Company, the Amended and Restated Bylaws of the Company, certain minutes and consents of the Company’s board of directors relating to the Registration Statement, the Certificate and the Bylaws, and such other agreements, documents, certificates and statements of the Company, the SPA, Warrant, and the Registration Statement.</w:t>
      </w:r>
    </w:p>
    <w:p>
      <w:pPr>
        <w:spacing w:after="0" w:line="18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 such examination and in rendering the opinion expressed below, we have assumed, without independent investigation or verification: (i) the genuineness of all signatures on all agreements, instruments, corporate records, certificates and other documents submitted to us, (ii) the legal capacity and authority of all persons or entities (other than the Company) executing all agreements, instruments, corporate records, certificates and other documents submitted to us,</w:t>
      </w:r>
    </w:p>
    <w:p>
      <w:pPr>
        <w:spacing w:after="0" w:line="1" w:lineRule="exact"/>
        <w:rPr>
          <w:sz w:val="20"/>
          <w:szCs w:val="20"/>
          <w:color w:val="auto"/>
        </w:rPr>
      </w:pPr>
    </w:p>
    <w:p>
      <w:pPr>
        <w:jc w:val="both"/>
        <w:ind w:firstLine="8"/>
        <w:spacing w:after="0" w:line="251" w:lineRule="auto"/>
        <w:tabs>
          <w:tab w:leader="none" w:pos="3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all agreements, instruments, certificates and other documents by all parties thereto (other than the Company), (vi) that the statements contained in the certificates and comparable documents of public officials, officers and representatives of the Company and other persons on which we have relied for the purposes of this opinion set forth below are true and correct, and (vii) that the officers and directors of the Company have properly exercised their fiduciary duties. We also have made such further legal and factual examinations and investigations as we deemed necessary for purposes of expressing the opinion set forth herein. We have further obtained from the officers of the Company certificates as to certain factual matters necessary for the purpose of this opinion and, insofar as this opinion is based on such matters of fact, we have relied solely on such certificates without independent investigation.</w:t>
      </w:r>
    </w:p>
    <w:p>
      <w:pPr>
        <w:spacing w:after="0" w:line="200" w:lineRule="exact"/>
        <w:rPr>
          <w:sz w:val="20"/>
          <w:szCs w:val="20"/>
          <w:color w:val="auto"/>
        </w:rPr>
      </w:pPr>
    </w:p>
    <w:p>
      <w:pPr>
        <w:spacing w:after="0" w:line="209" w:lineRule="exact"/>
        <w:rPr>
          <w:sz w:val="20"/>
          <w:szCs w:val="20"/>
          <w:color w:val="auto"/>
        </w:rPr>
      </w:pPr>
    </w:p>
    <w:p>
      <w:pPr>
        <w:jc w:val="center"/>
        <w:ind w:left="340" w:right="1820"/>
        <w:spacing w:after="0" w:line="266" w:lineRule="auto"/>
        <w:rPr>
          <w:sz w:val="20"/>
          <w:szCs w:val="20"/>
          <w:color w:val="auto"/>
        </w:rPr>
      </w:pPr>
      <w:r>
        <w:rPr>
          <w:rFonts w:ascii="Times New Roman" w:cs="Times New Roman" w:eastAsia="Times New Roman" w:hAnsi="Times New Roman"/>
          <w:sz w:val="18"/>
          <w:szCs w:val="18"/>
          <w:color w:val="auto"/>
        </w:rPr>
        <w:t>695 Town Center Drive, 14th Floor, Costa Mesa, CA 92626 Telephone: 714.371.2500 Fax: 714.371.2550 Albany | Boston | Chicago | Los Angeles | New York | Orange County | Sacramento | San Francisco | Silicon Valley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285875" cy="522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NeOnc Technologies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limitations, qualifications, exceptions and assumptions set forth herein, we are of the opinion that the Shares have been issued by the Company in accordance with the SPA and are validly issued, fully paid and nonassessable; the Warrant Shares, when issued by the Company and paid for in accordance with the terms of the SPA and Warrant, will be validly issued, fully paid and nonassessable.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opinion expressed in this opinion letter is limited to the General Corporation Law of the State of Delaware. We express no opinion as to whether the laws of any jurisdiction are applicable to the subject matter hereof. This opinion is expressly limited to the matters set forth above and we render no opinion, whether by implication or otherwise, as to any other matters relating to the Company or the Shares. We are not rendering any opinion as to compliance with any federal or state law, rule or regulation relating to securities, including any state securities laws, or to the sale or issuance thereof.</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Registration Statement and the use of our name therein under the caption “Legal Matters” in the Registration Statement. In giving this consent, we do not thereby admit that we are experts with respect to any part of the Registration Statement or the Prospectus within the meaning of the term “expert” as used in Section 11 of the Securities Act or the rules and regulations promulgated thereunder by the Commission, nor we do admit that we come within the category of persons whose consent is required under Section 7 of the Securities Act or the rules and regulations of the Commission adopted under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opinion included herein is expressed as of the date hereof unless otherwise expressly stated, and we disclaim any undertaking to advise you of any subsequent changes in the facts stated or assumed herein or of any subsequent changes in applicable laws.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Manatt, Phelps &amp; Phillips,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Manatt, Phelps &amp; Phillips,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S-3 of our report dated March 30, 2026, with respect to the financial statements of NeOnc Technologies Holdings, Inc. for the year ended December 31, 2025 included in the Annual Report on Form 10-K.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February 26, 2025 with respect to the financial statements of NeOnc Technologies Holdings, Inc. for the year ended December 31, 2024 included in the Annual Report on Form 10-K.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S-3</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NeOnc Technologies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2060" w:type="dxa"/>
            <w:vAlign w:val="bottom"/>
            <w:tcBorders>
              <w:top w:val="single" w:sz="8" w:color="auto"/>
              <w:left w:val="single" w:sz="8" w:color="auto"/>
              <w:right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spacing w:after="0"/>
              <w:rPr>
                <w:sz w:val="15"/>
                <w:szCs w:val="15"/>
                <w:color w:val="auto"/>
              </w:rPr>
            </w:pPr>
          </w:p>
        </w:tc>
        <w:tc>
          <w:tcPr>
            <w:tcW w:w="178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00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6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Registered</w:t>
            </w:r>
            <w:r>
              <w:rPr>
                <w:rFonts w:ascii="Times New Roman" w:cs="Times New Roman" w:eastAsia="Times New Roman" w:hAnsi="Times New Roman"/>
                <w:sz w:val="17"/>
                <w:szCs w:val="17"/>
                <w:b w:val="1"/>
                <w:bCs w:val="1"/>
                <w:color w:val="auto"/>
                <w:vertAlign w:val="superscript"/>
              </w:rPr>
              <w:t>(1)</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 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(3)(4)</w:t>
            </w:r>
          </w:p>
        </w:tc>
        <w:tc>
          <w:tcPr>
            <w:tcW w:w="102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Share</w:t>
            </w:r>
            <w:r>
              <w:rPr>
                <w:rFonts w:ascii="Times New Roman" w:cs="Times New Roman" w:eastAsia="Times New Roman" w:hAnsi="Times New Roman"/>
                <w:sz w:val="23"/>
                <w:szCs w:val="23"/>
                <w:b w:val="1"/>
                <w:bCs w:val="1"/>
                <w:color w:val="auto"/>
                <w:w w:val="94"/>
                <w:vertAlign w:val="superscript"/>
              </w:rPr>
              <w:t>(2)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tcBorders>
              <w:bottom w:val="single" w:sz="8" w:color="auto"/>
              <w:right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00"/>
        </w:trPr>
        <w:tc>
          <w:tcPr>
            <w:tcW w:w="20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Fees to Be Paid</w:t>
            </w:r>
          </w:p>
        </w:tc>
        <w:tc>
          <w:tcPr>
            <w:tcW w:w="13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7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Common Stock, $0.0001 par</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457(c)</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277,777</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$4.44</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$1,231,941.00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$0.00013810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$170.13</w:t>
            </w:r>
          </w:p>
        </w:tc>
        <w:tc>
          <w:tcPr>
            <w:tcW w:w="0" w:type="dxa"/>
            <w:vAlign w:val="bottom"/>
          </w:tcPr>
          <w:p>
            <w:pPr>
              <w:spacing w:after="0"/>
              <w:rPr>
                <w:sz w:val="1"/>
                <w:szCs w:val="1"/>
                <w:color w:val="auto"/>
              </w:rPr>
            </w:pPr>
          </w:p>
        </w:tc>
      </w:tr>
      <w:tr>
        <w:trPr>
          <w:trHeight w:val="188"/>
        </w:trPr>
        <w:tc>
          <w:tcPr>
            <w:tcW w:w="206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value per share</w:t>
            </w:r>
          </w:p>
        </w:tc>
        <w:tc>
          <w:tcPr>
            <w:tcW w:w="102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Fees to Be Paid</w:t>
            </w:r>
          </w:p>
        </w:tc>
        <w:tc>
          <w:tcPr>
            <w:tcW w:w="13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7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Common Stock, $0.0001 par</w:t>
            </w:r>
          </w:p>
        </w:tc>
        <w:tc>
          <w:tcPr>
            <w:tcW w:w="10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per share, issuable</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457(c)</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277,777</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$4.44</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$1,231,941.00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$0.00013810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$170.13</w:t>
            </w:r>
          </w:p>
        </w:tc>
        <w:tc>
          <w:tcPr>
            <w:tcW w:w="0" w:type="dxa"/>
            <w:vAlign w:val="bottom"/>
          </w:tcPr>
          <w:p>
            <w:pPr>
              <w:spacing w:after="0"/>
              <w:rPr>
                <w:sz w:val="1"/>
                <w:szCs w:val="1"/>
                <w:color w:val="auto"/>
              </w:rPr>
            </w:pPr>
          </w:p>
        </w:tc>
      </w:tr>
      <w:tr>
        <w:trPr>
          <w:trHeight w:val="188"/>
        </w:trPr>
        <w:tc>
          <w:tcPr>
            <w:tcW w:w="206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upon exercise of the Warrant</w:t>
            </w:r>
          </w:p>
        </w:tc>
        <w:tc>
          <w:tcPr>
            <w:tcW w:w="102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Fees to Be Paid</w:t>
            </w:r>
          </w:p>
        </w:tc>
        <w:tc>
          <w:tcPr>
            <w:tcW w:w="13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Other</w:t>
            </w:r>
          </w:p>
        </w:tc>
        <w:tc>
          <w:tcPr>
            <w:tcW w:w="17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Warrant to purchase shares</w:t>
            </w:r>
          </w:p>
        </w:tc>
        <w:tc>
          <w:tcPr>
            <w:tcW w:w="10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Common Stock, $0.0001</w:t>
            </w:r>
          </w:p>
        </w:tc>
        <w:tc>
          <w:tcPr>
            <w:tcW w:w="10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4"/>
                <w:szCs w:val="14"/>
                <w:color w:val="auto"/>
                <w:w w:val="98"/>
              </w:rPr>
              <w:t>par value per share</w:t>
            </w:r>
            <w:r>
              <w:rPr>
                <w:rFonts w:ascii="Times New Roman" w:cs="Times New Roman" w:eastAsia="Times New Roman" w:hAnsi="Times New Roman"/>
                <w:sz w:val="23"/>
                <w:szCs w:val="23"/>
                <w:color w:val="auto"/>
                <w:w w:val="98"/>
                <w:vertAlign w:val="superscript"/>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457(g)</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060" w:type="dxa"/>
            <w:vAlign w:val="bottom"/>
            <w:tcBorders>
              <w:left w:val="single" w:sz="8" w:color="auto"/>
              <w:right w:val="single" w:sz="8" w:color="auto"/>
            </w:tcBorders>
          </w:tcPr>
          <w:p>
            <w:pPr>
              <w:spacing w:after="0"/>
              <w:rPr>
                <w:sz w:val="17"/>
                <w:szCs w:val="17"/>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0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$2,463,881.99</w:t>
            </w: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$340.26</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60" w:type="dxa"/>
            <w:vAlign w:val="bottom"/>
            <w:tcBorders>
              <w:left w:val="single" w:sz="8" w:color="auto"/>
              <w:right w:val="single" w:sz="8" w:color="auto"/>
            </w:tcBorders>
          </w:tcPr>
          <w:p>
            <w:pPr>
              <w:spacing w:after="0"/>
              <w:rPr>
                <w:sz w:val="17"/>
                <w:szCs w:val="17"/>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10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60" w:type="dxa"/>
            <w:vAlign w:val="bottom"/>
            <w:tcBorders>
              <w:left w:val="single" w:sz="8" w:color="auto"/>
              <w:right w:val="single" w:sz="8" w:color="auto"/>
            </w:tcBorders>
          </w:tcPr>
          <w:p>
            <w:pPr>
              <w:spacing w:after="0"/>
              <w:rPr>
                <w:sz w:val="17"/>
                <w:szCs w:val="17"/>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60" w:type="dxa"/>
            <w:vAlign w:val="bottom"/>
            <w:tcBorders>
              <w:left w:val="single" w:sz="8" w:color="auto"/>
              <w:right w:val="single" w:sz="8" w:color="auto"/>
            </w:tcBorders>
          </w:tcPr>
          <w:p>
            <w:pPr>
              <w:spacing w:after="0"/>
              <w:rPr>
                <w:sz w:val="17"/>
                <w:szCs w:val="17"/>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$340.26</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left="340" w:hanging="332"/>
        <w:spacing w:after="0" w:line="25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common stock, par value $0.0001 per share (the “Common Stock”) of NeOnc Technologies Holdings, Inc. (the “Company”) that may become issuable upon any share split, share dividend, recapitalization or other similar transaction effected without the Company’s receipt of consideration which results in an increase in the number of the outstanding Common Stock.</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Rules 457(c) under the Securities Act of 1933, as amended, based on the average of the high and low prices of the Common Stock on June 9, 2026.</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receive any proceeds from the sale of its Common Stock by the Selling Stockholder.</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Common Stock are to be offered for resale by the Selling Stockholder named in the prospectus contained in this Registration Statement on Form S-3.</w:t>
      </w:r>
    </w:p>
    <w:p>
      <w:pPr>
        <w:ind w:left="340" w:right="2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457(g) under the Securities Act, because the shares of the common stock underlying the warrant are registered hereby, no separate registration fee is required with respect to the warrant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7"/>
    </w:lvl>
  </w:abstractNum>
  <w:abstractNum w:abstractNumId="11">
    <w:nsid w:val="109CF92E"/>
    <w:multiLevelType w:val="hybridMultilevel"/>
    <w:lvl w:ilvl="0">
      <w:lvlJc w:val="left"/>
      <w:lvlText w:val="(%1)"/>
      <w:numFmt w:val="decimal"/>
      <w:start w:val="1"/>
    </w:lvl>
    <w:lvl w:ilvl="1">
      <w:lvlJc w:val="left"/>
      <w:lvlText w:val="(%2)"/>
      <w:numFmt w:val="lowerRoman"/>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jpe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jpeg"/><Relationship Id="rId86" Type="http://schemas.openxmlformats.org/officeDocument/2006/relationships/image" Target="media/image54.png"/><Relationship Id="rId87" Type="http://schemas.openxmlformats.org/officeDocument/2006/relationships/image" Target="media/image55.jpe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44" Type="http://schemas.openxmlformats.org/officeDocument/2006/relationships/hyperlink" Target="https://www.sec.gov/ix?doc=/Archives/edgar/data/1979414/000182912626002860/neonctechnologies_10k.htm" TargetMode="External"/><Relationship Id="rId45" Type="http://schemas.openxmlformats.org/officeDocument/2006/relationships/hyperlink" Target="https://www.sec.gov/ix?doc=/Archives/edgar/data/1979414/000182912626004495/neonctechnologies_10ka.htm" TargetMode="External"/><Relationship Id="rId46" Type="http://schemas.openxmlformats.org/officeDocument/2006/relationships/hyperlink" Target="https://www.sec.gov/ix?doc=/Archives/edgar/data/1979414/000182912626005358/neonctechnologies_10q.htm" TargetMode="External"/><Relationship Id="rId47" Type="http://schemas.openxmlformats.org/officeDocument/2006/relationships/hyperlink" Target="https://www.sec.gov/ix?doc=/Archives/edgar/data/1979414/000182912626003401/neonctechnologies_8k.htm" TargetMode="External"/><Relationship Id="rId48" Type="http://schemas.openxmlformats.org/officeDocument/2006/relationships/hyperlink" Target="https://www.sec.gov/ix?doc=/Archives/edgar/data/1979414/000182912626003882/neonctechnologies_8k.htm" TargetMode="External"/><Relationship Id="rId49" Type="http://schemas.openxmlformats.org/officeDocument/2006/relationships/hyperlink" Target="https://www.sec.gov/ix?doc=/Archives/edgar/data/1979414/000182912626006400/neonctechnologies_8k.htm" TargetMode="External"/><Relationship Id="rId50" Type="http://schemas.openxmlformats.org/officeDocument/2006/relationships/hyperlink" Target="http://www.sec.gov/ix?doc=/Archives/edgar/data/1979414/000182912626006400/neonctechnologies_8k.htm" TargetMode="External"/><Relationship Id="rId62" Type="http://schemas.openxmlformats.org/officeDocument/2006/relationships/hyperlink" Target="https://www.sec.gov/Archives/edgar/data/1979414/000182912625002097/neonctechnologies_ex3-1.htm" TargetMode="External"/><Relationship Id="rId63" Type="http://schemas.openxmlformats.org/officeDocument/2006/relationships/hyperlink" Target="https://www.sec.gov/Archives/edgar/data/1979414/000182912625002097/neonctechnologies_ex3-2.htm" TargetMode="External"/><Relationship Id="rId64" Type="http://schemas.openxmlformats.org/officeDocument/2006/relationships/hyperlink" Target="https://www.sec.gov/Archives/edgar/data/1979414/000182912626006400/neonctechnologies_ex3-1.htm" TargetMode="External"/><Relationship Id="rId65" Type="http://schemas.openxmlformats.org/officeDocument/2006/relationships/hyperlink" Target="https://www.sec.gov/Archives/edgar/data/1979414/000182912626002860/neonctechnologies_ex4-1.htm" TargetMode="External"/><Relationship Id="rId66" Type="http://schemas.openxmlformats.org/officeDocument/2006/relationships/hyperlink" Target="https://www.sec.gov/Archives/edgar/data/1979414/000182912625000013/neonctechnologies_ex4-1.htm" TargetMode="External"/><Relationship Id="rId67" Type="http://schemas.openxmlformats.org/officeDocument/2006/relationships/hyperlink" Target="https://www.sec.gov/Archives/edgar/data/1979414/000182912625000013/neonctechnologies_ex4-2.htm" TargetMode="External"/><Relationship Id="rId68" Type="http://schemas.openxmlformats.org/officeDocument/2006/relationships/hyperlink" Target="https://www.sec.gov/Archives/edgar/data/1979414/000182912625000013/neonctechnologies_ex4-3.htm" TargetMode="External"/><Relationship Id="rId69" Type="http://schemas.openxmlformats.org/officeDocument/2006/relationships/hyperlink" Target="https://www.sec.gov/Archives/edgar/data/1979414/000182912625000013/neonctechnologies_ex4-4.htm" TargetMode="External"/><Relationship Id="rId70" Type="http://schemas.openxmlformats.org/officeDocument/2006/relationships/hyperlink" Target="https://www.sec.gov/Archives/edgar/data/1979414/000182912625001228/neonctechnologies_ex4-5.htm" TargetMode="External"/><Relationship Id="rId71" Type="http://schemas.openxmlformats.org/officeDocument/2006/relationships/hyperlink" Target="https://www.sec.gov/Archives/edgar/data/1979414/000182912625005280/neonctechnologies_ex4-1.htm" TargetMode="External"/><Relationship Id="rId72" Type="http://schemas.openxmlformats.org/officeDocument/2006/relationships/hyperlink" Target="https://www.sec.gov/Archives/edgar/data/1979414/000182912626000757/neonctechnologies_ex4-1.htm" TargetMode="External"/><Relationship Id="rId73" Type="http://schemas.openxmlformats.org/officeDocument/2006/relationships/hyperlink" Target="https://www.sec.gov/Archives/edgar/data/1979414/000182912626001885/neonctechnologies_ex4-1.htm" TargetMode="External"/><Relationship Id="rId74" Type="http://schemas.openxmlformats.org/officeDocument/2006/relationships/hyperlink" Target="https://www.sec.gov/Archives/edgar/data/1979414/000182912626002610/neonctechnologies_ex4-1.htm" TargetMode="External"/><Relationship Id="rId75" Type="http://schemas.openxmlformats.org/officeDocument/2006/relationships/hyperlink" Target="https://www.sec.gov/Archives/edgar/data/1979414/000182912626003882/neonctechnologies_ex4-1.htm" TargetMode="External"/><Relationship Id="rId76" Type="http://schemas.openxmlformats.org/officeDocument/2006/relationships/hyperlink" Target="https://www.sec.gov/Archives/edgar/data/1979414/000182912626000757/neonctechnologies_ex10-1.htm" TargetMode="External"/><Relationship Id="rId77" Type="http://schemas.openxmlformats.org/officeDocument/2006/relationships/hyperlink" Target="https://www.sec.gov/Archives/edgar/data/1979414/000182912626001885/neonctechnologies_ex10-1.htm" TargetMode="External"/><Relationship Id="rId78" Type="http://schemas.openxmlformats.org/officeDocument/2006/relationships/hyperlink" Target="https://www.sec.gov/Archives/edgar/data/1979414/000182912626002610/neonctechnologies_ex10-1.htm" TargetMode="External"/><Relationship Id="rId79" Type="http://schemas.openxmlformats.org/officeDocument/2006/relationships/hyperlink" Target="https://www.sec.gov/Archives/edgar/data/1979414/000182912626003882/neonctechnologies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2026-06-15T15:33:23Z</dcterms:created>
  <dcterms:modified xsi:type="dcterms:W3CDTF">2026-06-15T15:33:23Z</dcterms:modified>
</cp:coreProperties>
</file>