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jc w:val="center"/>
        <w:ind w:left="3880" w:right="940" w:hanging="2932"/>
        <w:spacing w:after="0" w:line="490" w:lineRule="auto"/>
        <w:tabs>
          <w:tab w:leader="none" w:pos="115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jc w:val="center"/>
        <w:ind w:left="3780" w:right="940" w:hanging="2839"/>
        <w:spacing w:after="0" w:line="500" w:lineRule="auto"/>
        <w:tabs>
          <w:tab w:leader="none" w:pos="1149"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For the transition period from </w:t>
      </w:r>
      <w:r>
        <w:rPr>
          <w:rFonts w:ascii="Times New Roman" w:cs="Times New Roman" w:eastAsia="Times New Roman" w:hAnsi="Times New Roman"/>
          <w:sz w:val="18"/>
          <w:szCs w:val="18"/>
          <w:color w:val="auto"/>
        </w:rPr>
        <w:t>______</w:t>
      </w:r>
      <w:r>
        <w:rPr>
          <w:rFonts w:ascii="Times New Roman" w:cs="Times New Roman" w:eastAsia="Times New Roman" w:hAnsi="Times New Roman"/>
          <w:sz w:val="18"/>
          <w:szCs w:val="18"/>
          <w:b w:val="1"/>
          <w:bCs w:val="1"/>
          <w:color w:val="auto"/>
        </w:rPr>
        <w:t xml:space="preserve"> to </w:t>
      </w:r>
      <w:r>
        <w:rPr>
          <w:rFonts w:ascii="Times New Roman" w:cs="Times New Roman" w:eastAsia="Times New Roman" w:hAnsi="Times New Roman"/>
          <w:sz w:val="18"/>
          <w:szCs w:val="18"/>
          <w:color w:val="auto"/>
        </w:rPr>
        <w:t>______</w:t>
      </w:r>
    </w:p>
    <w:p>
      <w:pPr>
        <w:spacing w:after="0" w:line="1" w:lineRule="exact"/>
        <w:rPr>
          <w:rFonts w:ascii="MS PGothic" w:cs="MS PGothic" w:eastAsia="MS PGothic" w:hAnsi="MS PGothic"/>
          <w:sz w:val="18"/>
          <w:szCs w:val="18"/>
          <w:color w:val="auto"/>
        </w:rPr>
      </w:pPr>
    </w:p>
    <w:p>
      <w:pPr>
        <w:ind w:left="42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801-42567</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NEONC TECHNOLOGIES HOLDINGS,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7640" w:type="dxa"/>
            <w:vAlign w:val="bottom"/>
            <w:gridSpan w:val="4"/>
          </w:tcPr>
          <w:p>
            <w:pPr>
              <w:jc w:val="center"/>
              <w:ind w:right="21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00" w:type="dxa"/>
            <w:vAlign w:val="bottom"/>
            <w:gridSpan w:val="2"/>
          </w:tcPr>
          <w:p>
            <w:pPr>
              <w:jc w:val="right"/>
              <w:ind w:right="2320"/>
              <w:spacing w:after="0"/>
              <w:rPr>
                <w:sz w:val="20"/>
                <w:szCs w:val="20"/>
                <w:color w:val="auto"/>
              </w:rPr>
            </w:pPr>
            <w:r>
              <w:rPr>
                <w:rFonts w:ascii="Times New Roman" w:cs="Times New Roman" w:eastAsia="Times New Roman" w:hAnsi="Times New Roman"/>
                <w:sz w:val="18"/>
                <w:szCs w:val="18"/>
                <w:b w:val="1"/>
                <w:bCs w:val="1"/>
                <w:color w:val="auto"/>
              </w:rPr>
              <w:t>95-1954864</w:t>
            </w:r>
          </w:p>
        </w:tc>
      </w:tr>
      <w:tr>
        <w:trPr>
          <w:trHeight w:val="191"/>
        </w:trPr>
        <w:tc>
          <w:tcPr>
            <w:tcW w:w="5520" w:type="dxa"/>
            <w:vAlign w:val="bottom"/>
            <w:tcBorders>
              <w:top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6"/>
                <w:szCs w:val="16"/>
                <w:color w:val="auto"/>
              </w:rPr>
            </w:pPr>
          </w:p>
        </w:tc>
        <w:tc>
          <w:tcPr>
            <w:tcW w:w="1900" w:type="dxa"/>
            <w:vAlign w:val="bottom"/>
            <w:tcBorders>
              <w:top w:val="single" w:sz="8" w:color="auto"/>
            </w:tcBorders>
          </w:tcPr>
          <w:p>
            <w:pPr>
              <w:spacing w:after="0"/>
              <w:rPr>
                <w:sz w:val="16"/>
                <w:szCs w:val="16"/>
                <w:color w:val="auto"/>
              </w:rPr>
            </w:pPr>
          </w:p>
        </w:tc>
        <w:tc>
          <w:tcPr>
            <w:tcW w:w="3600" w:type="dxa"/>
            <w:vAlign w:val="bottom"/>
            <w:tcBorders>
              <w:top w:val="single" w:sz="8" w:color="auto"/>
            </w:tcBorders>
            <w:gridSpan w:val="2"/>
          </w:tcPr>
          <w:p>
            <w:pPr>
              <w:jc w:val="center"/>
              <w:ind w:right="1900"/>
              <w:spacing w:after="0" w:line="191"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7640" w:type="dxa"/>
            <w:vAlign w:val="bottom"/>
            <w:gridSpan w:val="4"/>
          </w:tcPr>
          <w:p>
            <w:pPr>
              <w:jc w:val="center"/>
              <w:ind w:right="212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600" w:type="dxa"/>
            <w:vAlign w:val="bottom"/>
            <w:gridSpan w:val="2"/>
          </w:tcPr>
          <w:p>
            <w:pPr>
              <w:jc w:val="center"/>
              <w:ind w:right="190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73"/>
        </w:trPr>
        <w:tc>
          <w:tcPr>
            <w:tcW w:w="7640" w:type="dxa"/>
            <w:vAlign w:val="bottom"/>
            <w:gridSpan w:val="4"/>
          </w:tcPr>
          <w:p>
            <w:pPr>
              <w:jc w:val="center"/>
              <w:ind w:right="2120"/>
              <w:spacing w:after="0"/>
              <w:rPr>
                <w:sz w:val="20"/>
                <w:szCs w:val="20"/>
                <w:color w:val="auto"/>
              </w:rPr>
            </w:pPr>
            <w:r>
              <w:rPr>
                <w:rFonts w:ascii="Times New Roman" w:cs="Times New Roman" w:eastAsia="Times New Roman" w:hAnsi="Times New Roman"/>
                <w:sz w:val="18"/>
                <w:szCs w:val="18"/>
                <w:b w:val="1"/>
                <w:bCs w:val="1"/>
                <w:color w:val="auto"/>
                <w:w w:val="99"/>
              </w:rPr>
              <w:t>23975 Park Sorrento Suite 205 Calabasas, CA</w:t>
            </w:r>
          </w:p>
        </w:tc>
        <w:tc>
          <w:tcPr>
            <w:tcW w:w="3600" w:type="dxa"/>
            <w:vAlign w:val="bottom"/>
            <w:gridSpan w:val="2"/>
          </w:tcPr>
          <w:p>
            <w:pPr>
              <w:jc w:val="right"/>
              <w:ind w:right="2520"/>
              <w:spacing w:after="0"/>
              <w:rPr>
                <w:sz w:val="20"/>
                <w:szCs w:val="20"/>
                <w:color w:val="auto"/>
              </w:rPr>
            </w:pPr>
            <w:r>
              <w:rPr>
                <w:rFonts w:ascii="Times New Roman" w:cs="Times New Roman" w:eastAsia="Times New Roman" w:hAnsi="Times New Roman"/>
                <w:sz w:val="18"/>
                <w:szCs w:val="18"/>
                <w:b w:val="1"/>
                <w:bCs w:val="1"/>
                <w:color w:val="auto"/>
              </w:rPr>
              <w:t>91302</w:t>
            </w:r>
          </w:p>
        </w:tc>
      </w:tr>
      <w:tr>
        <w:trPr>
          <w:trHeight w:val="228"/>
        </w:trPr>
        <w:tc>
          <w:tcPr>
            <w:tcW w:w="55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19"/>
                <w:szCs w:val="19"/>
                <w:color w:val="auto"/>
              </w:rPr>
            </w:pPr>
          </w:p>
        </w:tc>
        <w:tc>
          <w:tcPr>
            <w:tcW w:w="1900" w:type="dxa"/>
            <w:vAlign w:val="bottom"/>
            <w:tcBorders>
              <w:top w:val="single" w:sz="8" w:color="auto"/>
            </w:tcBorders>
          </w:tcPr>
          <w:p>
            <w:pPr>
              <w:spacing w:after="0"/>
              <w:rPr>
                <w:sz w:val="19"/>
                <w:szCs w:val="19"/>
                <w:color w:val="auto"/>
              </w:rPr>
            </w:pPr>
          </w:p>
        </w:tc>
        <w:tc>
          <w:tcPr>
            <w:tcW w:w="3600" w:type="dxa"/>
            <w:vAlign w:val="bottom"/>
            <w:tcBorders>
              <w:top w:val="single" w:sz="8" w:color="auto"/>
            </w:tcBorders>
            <w:gridSpan w:val="2"/>
          </w:tcPr>
          <w:p>
            <w:pPr>
              <w:jc w:val="center"/>
              <w:ind w:right="1880"/>
              <w:spacing w:after="0"/>
              <w:rPr>
                <w:sz w:val="20"/>
                <w:szCs w:val="20"/>
                <w:color w:val="auto"/>
              </w:rPr>
            </w:pPr>
            <w:r>
              <w:rPr>
                <w:rFonts w:ascii="Times New Roman" w:cs="Times New Roman" w:eastAsia="Times New Roman" w:hAnsi="Times New Roman"/>
                <w:sz w:val="18"/>
                <w:szCs w:val="18"/>
                <w:color w:val="auto"/>
              </w:rPr>
              <w:t>(Zip Code)</w:t>
            </w:r>
          </w:p>
        </w:tc>
      </w:tr>
      <w:tr>
        <w:trPr>
          <w:trHeight w:val="468"/>
        </w:trPr>
        <w:tc>
          <w:tcPr>
            <w:tcW w:w="7640" w:type="dxa"/>
            <w:vAlign w:val="bottom"/>
            <w:gridSpan w:val="4"/>
          </w:tcPr>
          <w:p>
            <w:pPr>
              <w:jc w:val="right"/>
              <w:ind w:right="1340"/>
              <w:spacing w:after="0"/>
              <w:rPr>
                <w:sz w:val="20"/>
                <w:szCs w:val="20"/>
                <w:color w:val="auto"/>
              </w:rPr>
            </w:pPr>
            <w:r>
              <w:rPr>
                <w:rFonts w:ascii="Times New Roman" w:cs="Times New Roman" w:eastAsia="Times New Roman" w:hAnsi="Times New Roman"/>
                <w:sz w:val="22"/>
                <w:szCs w:val="22"/>
                <w:b w:val="1"/>
                <w:bCs w:val="1"/>
                <w:color w:val="auto"/>
              </w:rPr>
              <w:t>(310) 663-7831</w:t>
            </w:r>
          </w:p>
        </w:tc>
        <w:tc>
          <w:tcPr>
            <w:tcW w:w="80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8"/>
        </w:trPr>
        <w:tc>
          <w:tcPr>
            <w:tcW w:w="2820" w:type="dxa"/>
            <w:vAlign w:val="bottom"/>
          </w:tcPr>
          <w:p>
            <w:pPr>
              <w:spacing w:after="0"/>
              <w:rPr>
                <w:sz w:val="19"/>
                <w:szCs w:val="19"/>
                <w:color w:val="auto"/>
              </w:rPr>
            </w:pPr>
          </w:p>
        </w:tc>
        <w:tc>
          <w:tcPr>
            <w:tcW w:w="4820" w:type="dxa"/>
            <w:vAlign w:val="bottom"/>
            <w:tcBorders>
              <w:top w:val="single" w:sz="8" w:color="auto"/>
            </w:tcBorders>
            <w:gridSpan w:val="3"/>
          </w:tcPr>
          <w:p>
            <w:pPr>
              <w:jc w:val="center"/>
              <w:ind w:left="6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800" w:type="dxa"/>
            <w:vAlign w:val="bottom"/>
            <w:tcBorders>
              <w:top w:val="single" w:sz="8" w:color="auto"/>
            </w:tcBorders>
          </w:tcPr>
          <w:p>
            <w:pPr>
              <w:spacing w:after="0"/>
              <w:rPr>
                <w:sz w:val="19"/>
                <w:szCs w:val="19"/>
                <w:color w:val="auto"/>
              </w:rPr>
            </w:pPr>
          </w:p>
        </w:tc>
        <w:tc>
          <w:tcPr>
            <w:tcW w:w="2800" w:type="dxa"/>
            <w:vAlign w:val="bottom"/>
          </w:tcPr>
          <w:p>
            <w:pPr>
              <w:spacing w:after="0"/>
              <w:rPr>
                <w:sz w:val="19"/>
                <w:szCs w:val="19"/>
                <w:color w:val="auto"/>
              </w:rPr>
            </w:pPr>
          </w:p>
        </w:tc>
      </w:tr>
    </w:tbl>
    <w:p>
      <w:pPr>
        <w:spacing w:after="0" w:line="1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Securities Exchange Act of 1934:</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0"/>
        </w:trPr>
        <w:tc>
          <w:tcPr>
            <w:tcW w:w="4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2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NTHI</w:t>
            </w:r>
          </w:p>
        </w:tc>
        <w:tc>
          <w:tcPr>
            <w:tcW w:w="2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48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2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48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2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2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There were 19,159,118 shares of common stock outstanding as of August 18,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548640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i w:val="1"/>
          <w:iCs w:val="1"/>
          <w:color w:val="auto"/>
        </w:rPr>
        <w:t xml:space="preserve">In this report, the term “Company”, “we”, “us”, and “our refers to </w:t>
      </w:r>
      <w:r>
        <w:rPr>
          <w:rFonts w:ascii="Times New Roman" w:cs="Times New Roman" w:eastAsia="Times New Roman" w:hAnsi="Times New Roman"/>
          <w:sz w:val="18"/>
          <w:szCs w:val="18"/>
          <w:b w:val="1"/>
          <w:bCs w:val="1"/>
          <w:i w:val="1"/>
          <w:iCs w:val="1"/>
          <w:color w:val="auto"/>
        </w:rPr>
        <w:t>NEONC TECHNOLOGIES HOLDINGS, INC.</w:t>
      </w:r>
      <w:r>
        <w:rPr>
          <w:rFonts w:ascii="Times New Roman" w:cs="Times New Roman" w:eastAsia="Times New Roman" w:hAnsi="Times New Roman"/>
          <w:sz w:val="18"/>
          <w:szCs w:val="18"/>
          <w:i w:val="1"/>
          <w:iCs w:val="1"/>
          <w:color w:val="auto"/>
        </w:rPr>
        <w:t xml:space="preserve"> and its wholly-owned subsidiary.</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includes forward-looking statements within the meaning of the federal securities laws. We have based these forward-looking statements largely on our current expectations and projections about future events and financial trends affecting the operating results and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 statements about:</w:t>
      </w:r>
    </w:p>
    <w:p>
      <w:pPr>
        <w:spacing w:after="0" w:line="189"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expenses, future revenues, capital requirements and our needs for additional financing;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size of our market opportunities;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enter new markets, manage our growth expansion and comply with any applicable laws and regulations;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from our market competitors;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 in, or breach in security of, our information technology systems and resultant interruptions in service and any related impact on our reputation;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attraction and retention of qualified employees and key personnel;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internal controls;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government regulation affecting our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adverse economic conditions;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cash and cash equivalents to meet our liquidity needs and service our indebtedness;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outcomes of legal or administrative proceedings.</w:t>
      </w:r>
    </w:p>
    <w:p>
      <w:pPr>
        <w:spacing w:after="0" w:line="225"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In addition, in this report, the words “believe,” “may,” “will,” “estimate,” “continue,” “anticipate,” “intend,” “expect,” “predict,” “potential” and similar expressions, as they relate to our Company, our business and our management, are intended to identify forward-looking statements. In light of these risks and uncertainties, the forward-looking events and circumstances discussed in this report may not occur and actual results could differ materially from those anticipated or implied in the forward-looking statements.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Forward-looking statements speak only as of the date of this report.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laws. If we update one or more forward-looking statements, no inference should be drawn that we will make additional updates with respect to those or other forward-looking statements.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should read this report and the documents that we reference in this report and have filed with the Securities and Exchange Commission (“SEC”) as exhibits to this report with the understanding that our actual future results, levels of activity, performance and events and circumstances may be materially different from what we expect.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1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0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89"/>
        </w:trPr>
        <w:tc>
          <w:tcPr>
            <w:tcW w:w="2320" w:type="dxa"/>
            <w:vAlign w:val="bottom"/>
            <w:tcBorders>
              <w:top w:val="single" w:sz="8" w:color="CCEEFF"/>
              <w:bottom w:val="single" w:sz="8" w:color="0000EE"/>
            </w:tcBorders>
            <w:gridSpan w:val="10"/>
            <w:shd w:val="clear" w:color="auto" w:fill="CCEEFF"/>
          </w:tcPr>
          <w:p>
            <w:pPr>
              <w:spacing w:after="0" w:line="136" w:lineRule="exact"/>
              <w:rPr>
                <w:sz w:val="20"/>
                <w:szCs w:val="20"/>
                <w:color w:val="auto"/>
              </w:rPr>
            </w:pPr>
            <w:r>
              <w:rPr>
                <w:rFonts w:ascii="Times New Roman" w:cs="Times New Roman" w:eastAsia="Times New Roman" w:hAnsi="Times New Roman"/>
                <w:sz w:val="15"/>
                <w:szCs w:val="15"/>
                <w:b w:val="1"/>
                <w:bCs w:val="1"/>
                <w:color w:val="0000EE"/>
              </w:rPr>
              <w:t>Part I - Financial Information</w:t>
            </w:r>
          </w:p>
        </w:tc>
        <w:tc>
          <w:tcPr>
            <w:tcW w:w="7920" w:type="dxa"/>
            <w:vAlign w:val="bottom"/>
            <w:tcBorders>
              <w:top w:val="single" w:sz="8" w:color="CCEEFF"/>
              <w:bottom w:val="single" w:sz="8" w:color="CCEEFF"/>
            </w:tcBorders>
            <w:gridSpan w:val="11"/>
            <w:shd w:val="clear" w:color="auto" w:fill="CCEEFF"/>
          </w:tcPr>
          <w:p>
            <w:pPr>
              <w:spacing w:after="0"/>
              <w:rPr>
                <w:sz w:val="16"/>
                <w:szCs w:val="16"/>
                <w:color w:val="auto"/>
              </w:rPr>
            </w:pPr>
          </w:p>
        </w:tc>
        <w:tc>
          <w:tcPr>
            <w:tcW w:w="100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10080" w:type="dxa"/>
            <w:vAlign w:val="bottom"/>
            <w:gridSpan w:val="20"/>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 Financial Statements</w:t>
            </w:r>
          </w:p>
        </w:tc>
        <w:tc>
          <w:tcPr>
            <w:tcW w:w="10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90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 (Unaudited)</w:t>
            </w:r>
          </w:p>
        </w:tc>
        <w:tc>
          <w:tcPr>
            <w:tcW w:w="1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90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 of Operations (Unaudited)</w:t>
            </w:r>
          </w:p>
        </w:tc>
        <w:tc>
          <w:tcPr>
            <w:tcW w:w="10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90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 of Stockholders’ Deficit (Unaudited)</w:t>
            </w:r>
          </w:p>
        </w:tc>
        <w:tc>
          <w:tcPr>
            <w:tcW w:w="1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6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5240" w:type="dxa"/>
            <w:vAlign w:val="bottom"/>
            <w:tcBorders>
              <w:top w:val="single" w:sz="8" w:color="0000EE"/>
            </w:tcBorders>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 of Cash Flows (Unaudited)</w:t>
            </w:r>
          </w:p>
        </w:tc>
        <w:tc>
          <w:tcPr>
            <w:tcW w:w="4660" w:type="dxa"/>
            <w:vAlign w:val="bottom"/>
            <w:tcBorders>
              <w:top w:val="single" w:sz="8" w:color="CCEEFF"/>
            </w:tcBorders>
            <w:gridSpan w:val="2"/>
          </w:tcPr>
          <w:p>
            <w:pPr>
              <w:spacing w:after="0"/>
              <w:rPr>
                <w:sz w:val="15"/>
                <w:szCs w:val="15"/>
                <w:color w:val="auto"/>
              </w:rPr>
            </w:pPr>
          </w:p>
        </w:tc>
        <w:tc>
          <w:tcPr>
            <w:tcW w:w="10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90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Condensed Consolidated Financial Statements (Unaudited)</w:t>
            </w:r>
          </w:p>
        </w:tc>
        <w:tc>
          <w:tcPr>
            <w:tcW w:w="5000" w:type="dxa"/>
            <w:vAlign w:val="bottom"/>
            <w:tcBorders>
              <w:bottom w:val="single" w:sz="8" w:color="CCEEFF"/>
            </w:tcBorders>
            <w:gridSpan w:val="3"/>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10080" w:type="dxa"/>
            <w:vAlign w:val="bottom"/>
            <w:gridSpan w:val="20"/>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10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10080" w:type="dxa"/>
            <w:vAlign w:val="bottom"/>
            <w:gridSpan w:val="20"/>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1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60" w:type="dxa"/>
            <w:vAlign w:val="bottom"/>
            <w:tcBorders>
              <w:top w:val="single" w:sz="8" w:color="CCEEFF"/>
            </w:tcBorders>
          </w:tcPr>
          <w:p>
            <w:pPr>
              <w:spacing w:after="0"/>
              <w:rPr>
                <w:sz w:val="15"/>
                <w:szCs w:val="15"/>
                <w:color w:val="auto"/>
              </w:rPr>
            </w:pPr>
          </w:p>
        </w:tc>
        <w:tc>
          <w:tcPr>
            <w:tcW w:w="4920" w:type="dxa"/>
            <w:vAlign w:val="bottom"/>
            <w:tcBorders>
              <w:top w:val="single" w:sz="8" w:color="0000EE"/>
            </w:tcBorders>
            <w:gridSpan w:val="16"/>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4. Controls and Procedures</w:t>
            </w:r>
          </w:p>
        </w:tc>
        <w:tc>
          <w:tcPr>
            <w:tcW w:w="5160" w:type="dxa"/>
            <w:vAlign w:val="bottom"/>
            <w:tcBorders>
              <w:top w:val="single" w:sz="8" w:color="CCEEFF"/>
            </w:tcBorders>
            <w:gridSpan w:val="4"/>
          </w:tcPr>
          <w:p>
            <w:pPr>
              <w:spacing w:after="0"/>
              <w:rPr>
                <w:sz w:val="15"/>
                <w:szCs w:val="15"/>
                <w:color w:val="auto"/>
              </w:rPr>
            </w:pPr>
          </w:p>
        </w:tc>
        <w:tc>
          <w:tcPr>
            <w:tcW w:w="10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2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10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0000EE"/>
            </w:tcBorders>
            <w:gridSpan w:val="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8"/>
              </w:rPr>
              <w:t>Item 1. Legal Proceedings</w:t>
            </w:r>
          </w:p>
        </w:tc>
        <w:tc>
          <w:tcPr>
            <w:tcW w:w="8180" w:type="dxa"/>
            <w:vAlign w:val="bottom"/>
            <w:tcBorders>
              <w:bottom w:val="single" w:sz="8" w:color="CCEEFF"/>
            </w:tcBorders>
            <w:gridSpan w:val="14"/>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10080" w:type="dxa"/>
            <w:vAlign w:val="bottom"/>
            <w:gridSpan w:val="20"/>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1A. Risk Factors</w:t>
            </w:r>
          </w:p>
        </w:tc>
        <w:tc>
          <w:tcPr>
            <w:tcW w:w="10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3400" w:type="dxa"/>
            <w:vAlign w:val="bottom"/>
            <w:tcBorders>
              <w:bottom w:val="single" w:sz="8" w:color="0000EE"/>
            </w:tcBorders>
            <w:gridSpan w:val="1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Item 2. Unregistered Sales of Equity Securities</w:t>
            </w:r>
          </w:p>
        </w:tc>
        <w:tc>
          <w:tcPr>
            <w:tcW w:w="6680" w:type="dxa"/>
            <w:vAlign w:val="bottom"/>
            <w:tcBorders>
              <w:bottom w:val="single" w:sz="8" w:color="CCEEFF"/>
            </w:tcBorders>
            <w:gridSpan w:val="8"/>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10080" w:type="dxa"/>
            <w:vAlign w:val="bottom"/>
            <w:gridSpan w:val="20"/>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3. Defaults Upon Senior Securities</w:t>
            </w:r>
          </w:p>
        </w:tc>
        <w:tc>
          <w:tcPr>
            <w:tcW w:w="10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0000EE"/>
            </w:tcBorders>
            <w:gridSpan w:val="10"/>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8"/>
              </w:rPr>
              <w:t>Item 4. Mine Safety Disclosures</w:t>
            </w:r>
          </w:p>
        </w:tc>
        <w:tc>
          <w:tcPr>
            <w:tcW w:w="7740" w:type="dxa"/>
            <w:vAlign w:val="bottom"/>
            <w:tcBorders>
              <w:bottom w:val="single" w:sz="8" w:color="CCEEFF"/>
            </w:tcBorders>
            <w:gridSpan w:val="10"/>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10080" w:type="dxa"/>
            <w:vAlign w:val="bottom"/>
            <w:gridSpan w:val="20"/>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5. Other Information</w:t>
            </w:r>
          </w:p>
        </w:tc>
        <w:tc>
          <w:tcPr>
            <w:tcW w:w="10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10080" w:type="dxa"/>
            <w:vAlign w:val="bottom"/>
            <w:gridSpan w:val="20"/>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6. Exhibit Index</w:t>
            </w:r>
          </w:p>
        </w:tc>
        <w:tc>
          <w:tcPr>
            <w:tcW w:w="1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0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4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1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60"/>
        </w:trPr>
        <w:tc>
          <w:tcPr>
            <w:tcW w:w="16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94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7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5000" w:type="dxa"/>
            <w:vAlign w:val="bottom"/>
            <w:tcBorders>
              <w:top w:val="single" w:sz="8" w:color="CCEEFF"/>
              <w:bottom w:val="single" w:sz="8" w:color="auto"/>
            </w:tcBorders>
            <w:gridSpan w:val="3"/>
          </w:tcPr>
          <w:p>
            <w:pPr>
              <w:ind w:left="340"/>
              <w:spacing w:after="0"/>
              <w:rPr>
                <w:sz w:val="20"/>
                <w:szCs w:val="20"/>
                <w:color w:val="auto"/>
              </w:rPr>
            </w:pPr>
            <w:r>
              <w:rPr>
                <w:rFonts w:ascii="Times New Roman" w:cs="Times New Roman" w:eastAsia="Times New Roman" w:hAnsi="Times New Roman"/>
                <w:sz w:val="18"/>
                <w:szCs w:val="18"/>
                <w:color w:val="auto"/>
              </w:rPr>
              <w:t>ii</w:t>
            </w:r>
          </w:p>
        </w:tc>
        <w:tc>
          <w:tcPr>
            <w:tcW w:w="100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NEONC TECHNOLOGIES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125,039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64,893</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offering costs – current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96,880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1,071,947</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issuance costs – current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671,804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671,804</w:t>
            </w:r>
          </w:p>
        </w:tc>
      </w:tr>
      <w:tr>
        <w:trPr>
          <w:trHeight w:val="229"/>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760,219</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410,085</w:t>
            </w:r>
          </w:p>
        </w:tc>
      </w:tr>
      <w:tr>
        <w:trPr>
          <w:trHeight w:val="210"/>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1,653,942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2,218,729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issuance costs – net of current portion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862,609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1,198,512</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offering costs – net of current portion</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26,642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 of use asset – operating lease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397,817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47,177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2,988,187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3,417,241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3,073,635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2,917,801</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 related parties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499,225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628,277</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advisory fee – related party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5,882,710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Litigation settlement payable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4,697,500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4,641,250</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compensation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255,099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734,874</w:t>
            </w: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liability, current</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68,633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14,476,802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8,922,202</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ectPr>
          <w:pgSz w:w="11900" w:h="16838" w:orient="portrait"/>
          <w:cols w:equalWidth="0" w:num="1">
            <w:col w:w="11240"/>
          </w:cols>
          <w:pgMar w:left="320" w:top="792"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Long 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Lease liability, net of current portion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CCEEFF"/>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 and contingencies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ind w:left="220"/>
        <w:spacing w:after="0"/>
        <w:tabs>
          <w:tab w:leader="none" w:pos="2060" w:val="left"/>
        </w:tabs>
        <w:rPr>
          <w:sz w:val="20"/>
          <w:szCs w:val="20"/>
          <w:color w:val="auto"/>
        </w:rPr>
      </w:pPr>
      <w:r>
        <w:rPr>
          <w:rFonts w:ascii="Times New Roman" w:cs="Times New Roman" w:eastAsia="Times New Roman" w:hAnsi="Times New Roman"/>
          <w:sz w:val="18"/>
          <w:szCs w:val="18"/>
          <w:color w:val="auto"/>
        </w:rPr>
        <w:t>326,879</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8"/>
          <w:szCs w:val="18"/>
          <w:color w:val="auto"/>
        </w:rPr>
        <w:t>14,803,681</w:t>
      </w:r>
      <w:r>
        <w:rPr>
          <w:sz w:val="20"/>
          <w:szCs w:val="20"/>
          <w:color w:val="auto"/>
        </w:rPr>
        <w:tab/>
      </w:r>
      <w:r>
        <w:rPr>
          <w:rFonts w:ascii="Times New Roman" w:cs="Times New Roman" w:eastAsia="Times New Roman" w:hAnsi="Times New Roman"/>
          <w:sz w:val="18"/>
          <w:szCs w:val="18"/>
          <w:color w:val="auto"/>
        </w:rPr>
        <w:t>8,922,202</w:t>
      </w:r>
    </w:p>
    <w:p>
      <w:pPr>
        <w:spacing w:after="0" w:line="259" w:lineRule="exact"/>
        <w:rPr>
          <w:sz w:val="20"/>
          <w:szCs w:val="20"/>
          <w:color w:val="auto"/>
        </w:rPr>
      </w:pPr>
    </w:p>
    <w:p>
      <w:pPr>
        <w:sectPr>
          <w:pgSz w:w="11900" w:h="16838" w:orient="portrait"/>
          <w:cols w:equalWidth="0" w:num="2">
            <w:col w:w="8280" w:space="720"/>
            <w:col w:w="2240"/>
          </w:cols>
          <w:pgMar w:left="320" w:top="792"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8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Deficit:</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10,000,000 shares authorized; no shares were issued and outstanding as of</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June 30, 2025 and December 31, 2024</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 shares authorized; 19,026,776 and 18,090,526 shares issued and</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 as of June 30, 2025 and December 31, 2024, respectively</w:t>
            </w:r>
          </w:p>
        </w:tc>
        <w:tc>
          <w:tcPr>
            <w:tcW w:w="18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1,903</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1,809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76,797,234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45,101,675</w:t>
            </w:r>
          </w:p>
        </w:tc>
        <w:tc>
          <w:tcPr>
            <w:tcW w:w="0" w:type="dxa"/>
            <w:vAlign w:val="bottom"/>
          </w:tcPr>
          <w:p>
            <w:pPr>
              <w:spacing w:after="0"/>
              <w:rPr>
                <w:sz w:val="1"/>
                <w:szCs w:val="1"/>
                <w:color w:val="auto"/>
              </w:rPr>
            </w:pPr>
          </w:p>
        </w:tc>
      </w:tr>
      <w:tr>
        <w:trPr>
          <w:trHeight w:val="229"/>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19"/>
                <w:szCs w:val="19"/>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(88,614,631)</w:t>
            </w: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(50,608,445)</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Shareholders’ Deficit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(11,815,494</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(5,504,961</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2,988,187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3,417,241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286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6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868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NEONC TECHNOLOGIES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For the</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center"/>
              <w:ind w:right="341"/>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60" w:type="dxa"/>
            <w:vAlign w:val="bottom"/>
          </w:tcPr>
          <w:p>
            <w:pPr>
              <w:spacing w:after="0"/>
              <w:rPr>
                <w:sz w:val="18"/>
                <w:szCs w:val="18"/>
                <w:color w:val="auto"/>
              </w:rPr>
            </w:pPr>
          </w:p>
        </w:tc>
        <w:tc>
          <w:tcPr>
            <w:tcW w:w="2380" w:type="dxa"/>
            <w:vAlign w:val="bottom"/>
            <w:gridSpan w:val="6"/>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39,990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677,332</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394,484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1,675,554</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1,009,001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Legal and professional</w:t>
            </w:r>
          </w:p>
        </w:tc>
        <w:tc>
          <w:tcPr>
            <w:tcW w:w="200" w:type="dxa"/>
            <w:vAlign w:val="bottom"/>
          </w:tcPr>
          <w:p>
            <w:pPr>
              <w:spacing w:after="0"/>
              <w:rPr>
                <w:sz w:val="18"/>
                <w:szCs w:val="18"/>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520,364</w:t>
            </w:r>
          </w:p>
        </w:tc>
        <w:tc>
          <w:tcPr>
            <w:tcW w:w="26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590,984</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1,477,909</w:t>
            </w: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1,155,338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984,262</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289,652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1,833,747</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705,264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based compensation</w:t>
            </w:r>
          </w:p>
        </w:tc>
        <w:tc>
          <w:tcPr>
            <w:tcW w:w="200" w:type="dxa"/>
            <w:vAlign w:val="bottom"/>
          </w:tcPr>
          <w:p>
            <w:pPr>
              <w:spacing w:after="0"/>
              <w:rPr>
                <w:sz w:val="18"/>
                <w:szCs w:val="18"/>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3,526,076</w:t>
            </w:r>
          </w:p>
        </w:tc>
        <w:tc>
          <w:tcPr>
            <w:tcW w:w="26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20,923,850</w:t>
            </w: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License expense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Advisory fees</w:t>
            </w:r>
          </w:p>
        </w:tc>
        <w:tc>
          <w:tcPr>
            <w:tcW w:w="200" w:type="dxa"/>
            <w:vAlign w:val="bottom"/>
          </w:tcPr>
          <w:p>
            <w:pPr>
              <w:spacing w:after="0"/>
              <w:rPr>
                <w:sz w:val="19"/>
                <w:szCs w:val="19"/>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11,737,806</w:t>
            </w:r>
          </w:p>
        </w:tc>
        <w:tc>
          <w:tcPr>
            <w:tcW w:w="2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5,708,034</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1,300,120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37,648,866</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2,894,603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(5,708,034)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(1,280,120)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(37,608,876)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(2,831,603)</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28,725</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80,424</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debt issuance and deferred offering costs</w:t>
            </w:r>
          </w:p>
        </w:tc>
        <w:tc>
          <w:tcPr>
            <w:tcW w:w="20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(192,249)</w:t>
            </w:r>
          </w:p>
        </w:tc>
        <w:tc>
          <w:tcPr>
            <w:tcW w:w="26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(360,200)</w:t>
            </w: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240,138</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240,138</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 related parties</w:t>
            </w:r>
          </w:p>
        </w:tc>
        <w:tc>
          <w:tcPr>
            <w:tcW w:w="20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(48,750)</w:t>
            </w:r>
          </w:p>
        </w:tc>
        <w:tc>
          <w:tcPr>
            <w:tcW w:w="26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(1,171,963)</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(357,672)</w:t>
            </w:r>
          </w:p>
        </w:tc>
        <w:tc>
          <w:tcPr>
            <w:tcW w:w="26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(2,559,456)</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extinguishment of Bridge loan - related party</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(2,069,923)</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(2,069,923)</w:t>
            </w:r>
          </w:p>
        </w:tc>
        <w:tc>
          <w:tcPr>
            <w:tcW w:w="0" w:type="dxa"/>
            <w:vAlign w:val="bottom"/>
          </w:tcPr>
          <w:p>
            <w:pPr>
              <w:spacing w:after="0"/>
              <w:rPr>
                <w:sz w:val="1"/>
                <w:szCs w:val="1"/>
                <w:color w:val="auto"/>
              </w:rPr>
            </w:pPr>
          </w:p>
        </w:tc>
      </w:tr>
      <w:tr>
        <w:trPr>
          <w:trHeight w:val="263"/>
        </w:trPr>
        <w:tc>
          <w:tcPr>
            <w:tcW w:w="59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(5,680,170</w:t>
            </w:r>
          </w:p>
        </w:tc>
        <w:tc>
          <w:tcPr>
            <w:tcW w:w="260" w:type="dxa"/>
            <w:vAlign w:val="bottom"/>
            <w:tcBorders>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(4,522,006</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(38,006,186</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(7,460,982</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7"/>
        </w:trPr>
        <w:tc>
          <w:tcPr>
            <w:tcW w:w="5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(0.30)</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(0.27)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(2.04)</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180"/>
              <w:spacing w:after="0" w:line="191" w:lineRule="exact"/>
              <w:rPr>
                <w:sz w:val="20"/>
                <w:szCs w:val="20"/>
                <w:color w:val="auto"/>
              </w:rPr>
            </w:pPr>
            <w:r>
              <w:rPr>
                <w:rFonts w:ascii="Times New Roman" w:cs="Times New Roman" w:eastAsia="Times New Roman" w:hAnsi="Times New Roman"/>
                <w:sz w:val="18"/>
                <w:szCs w:val="18"/>
                <w:color w:val="auto"/>
              </w:rPr>
              <w:t>Weighted average number of common shares outstanding during the period -</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9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tcPr>
          <w:p>
            <w:pPr>
              <w:spacing w:after="0"/>
              <w:rPr>
                <w:sz w:val="22"/>
                <w:szCs w:val="22"/>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19,026,776</w:t>
            </w:r>
          </w:p>
        </w:tc>
        <w:tc>
          <w:tcPr>
            <w:tcW w:w="260" w:type="dxa"/>
            <w:vAlign w:val="bottom"/>
          </w:tcPr>
          <w:p>
            <w:pPr>
              <w:spacing w:after="0"/>
              <w:rPr>
                <w:sz w:val="22"/>
                <w:szCs w:val="22"/>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16,636,455</w:t>
            </w:r>
          </w:p>
        </w:tc>
        <w:tc>
          <w:tcPr>
            <w:tcW w:w="160" w:type="dxa"/>
            <w:vAlign w:val="bottom"/>
          </w:tcPr>
          <w:p>
            <w:pPr>
              <w:spacing w:after="0"/>
              <w:rPr>
                <w:sz w:val="22"/>
                <w:szCs w:val="22"/>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18,589,859</w:t>
            </w:r>
          </w:p>
        </w:tc>
        <w:tc>
          <w:tcPr>
            <w:tcW w:w="26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16,598,227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NEONC TECHNOLOGIES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Deficit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and Six Months Ended June 30, 2024</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4620" w:type="dxa"/>
            <w:vAlign w:val="bottom"/>
          </w:tcPr>
          <w:p>
            <w:pPr>
              <w:spacing w:after="0"/>
              <w:rPr>
                <w:sz w:val="20"/>
                <w:szCs w:val="20"/>
                <w:color w:val="auto"/>
              </w:rPr>
            </w:pPr>
          </w:p>
        </w:tc>
        <w:tc>
          <w:tcPr>
            <w:tcW w:w="2760" w:type="dxa"/>
            <w:vAlign w:val="bottom"/>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32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138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60" w:type="dxa"/>
            <w:vAlign w:val="bottom"/>
          </w:tcPr>
          <w:p>
            <w:pPr>
              <w:spacing w:after="0"/>
              <w:rPr>
                <w:sz w:val="19"/>
                <w:szCs w:val="19"/>
                <w:color w:val="auto"/>
              </w:rPr>
            </w:pPr>
          </w:p>
        </w:tc>
        <w:tc>
          <w:tcPr>
            <w:tcW w:w="116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60" w:type="dxa"/>
            <w:vAlign w:val="bottom"/>
          </w:tcPr>
          <w:p>
            <w:pPr>
              <w:spacing w:after="0"/>
              <w:rPr>
                <w:sz w:val="19"/>
                <w:szCs w:val="19"/>
                <w:color w:val="auto"/>
              </w:rPr>
            </w:pPr>
          </w:p>
        </w:tc>
        <w:tc>
          <w:tcPr>
            <w:tcW w:w="106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January 1, 2024</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16,560,000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24,720,072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(38,709,981)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(13,988,253)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(2,938,976)</w:t>
            </w: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(2,938,976)</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March 31, 2024</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16,560,000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24,720,072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(41,648,957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(16,927,229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Sale of common stock, net of offering costs</w:t>
            </w: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20" w:type="dxa"/>
            <w:vAlign w:val="bottom"/>
            <w:vMerge w:val="continue"/>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141,889</w:t>
            </w:r>
          </w:p>
        </w:tc>
        <w:tc>
          <w:tcPr>
            <w:tcW w:w="2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2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1,702,654</w:t>
            </w:r>
          </w:p>
        </w:tc>
        <w:tc>
          <w:tcPr>
            <w:tcW w:w="2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1,702,668</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issued for bridge loan conversion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979,039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11,748,366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11,748,464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 for settlement of vendor payable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114,758</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1,377,078</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1,377,090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issued for settlement of accrued compensation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34,375</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412,497</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412,500</w:t>
            </w: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(4,522,006)</w:t>
            </w: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(4,522,006)</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June 30, 2024</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17,830,061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39,960,667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(46,170,963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(6,208,513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Three and Six Months Ended June 30, 2025</w:t>
            </w: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January 1, 2025</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18,090,526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1,809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45,101,675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(50,608,445)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(5,504,961)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Sale of common stock, net of offering costs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727,750</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10,252,425</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10,252,498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issued for advisory services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46,000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557,055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557,060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Cashless exercise of warrants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162,500</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based compensation, as restated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17,397,774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17,397,774</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(32,326,016)</w:t>
            </w: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(32,326,016)</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March 31, 2025, as restated</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19,026,776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73,308,913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(82,934,461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(9,623,645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 based compensation</w:t>
            </w: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20" w:type="dxa"/>
            <w:vAlign w:val="bottom"/>
            <w:vMerge w:val="continue"/>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3,526,076</w:t>
            </w:r>
          </w:p>
        </w:tc>
        <w:tc>
          <w:tcPr>
            <w:tcW w:w="2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3,526,076</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(37,755)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(37,755)</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(5,680,170)</w:t>
            </w: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(5,680,170)</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June 30, 2025</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19,026,776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76,797,234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(88,614,631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(11,815,494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NEONC TECHNOLOGIES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60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560" w:type="dxa"/>
            <w:vAlign w:val="bottom"/>
            <w:gridSpan w:val="5"/>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8680" w:type="dxa"/>
            <w:vAlign w:val="bottom"/>
          </w:tcPr>
          <w:p>
            <w:pPr>
              <w:spacing w:after="0"/>
              <w:rPr>
                <w:sz w:val="20"/>
                <w:szCs w:val="20"/>
                <w:color w:val="auto"/>
              </w:rPr>
            </w:pPr>
          </w:p>
        </w:tc>
        <w:tc>
          <w:tcPr>
            <w:tcW w:w="1600" w:type="dxa"/>
            <w:vAlign w:val="bottom"/>
            <w:tcBorders>
              <w:bottom w:val="single" w:sz="8" w:color="auto"/>
            </w:tcBorders>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6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(38,006,186)</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(7,460,982)</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Increase in bridge loan - expenses paid by bridge loan provider on behalf of the Company</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476,393</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Accretion of original issue discount on bridge loans - related party</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300,000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2,558,241</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Write off deferred issuance costs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703,796</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 based compensation - restricted stock</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20,923,850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extinguishment of bridge loan</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2,069,923</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debt issuance costs and deferred offering costs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769,441</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right of use asset</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18,153</w:t>
            </w:r>
          </w:p>
        </w:tc>
        <w:tc>
          <w:tcPr>
            <w:tcW w:w="26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111,793</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Prepaid expenses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(350,134)</w:t>
            </w: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(90,312)</w:t>
            </w:r>
          </w:p>
        </w:tc>
      </w:tr>
      <w:tr>
        <w:trPr>
          <w:trHeight w:val="216"/>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assets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(47,177)</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compensation</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(479,775)</w:t>
            </w:r>
          </w:p>
        </w:tc>
        <w:tc>
          <w:tcPr>
            <w:tcW w:w="26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10,724</w:t>
            </w:r>
          </w:p>
        </w:tc>
      </w:tr>
      <w:tr>
        <w:trPr>
          <w:trHeight w:val="216"/>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Lease liability</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(20,458)</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(103,304)</w:t>
            </w:r>
          </w:p>
        </w:tc>
      </w:tr>
      <w:tr>
        <w:trPr>
          <w:trHeight w:val="216"/>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advisory fee</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5,882,710</w:t>
            </w:r>
          </w:p>
        </w:tc>
        <w:tc>
          <w:tcPr>
            <w:tcW w:w="26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 and accounts payable - related parties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45,350</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1,551,272</w:t>
            </w:r>
          </w:p>
        </w:tc>
      </w:tr>
      <w:tr>
        <w:trPr>
          <w:trHeight w:val="209"/>
        </w:trPr>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(10,964,226</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(172,456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the sale of common stock</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11,324,372</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1,702,668</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related party loan</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300,000</w:t>
            </w:r>
          </w:p>
        </w:tc>
        <w:tc>
          <w:tcPr>
            <w:tcW w:w="26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892,028</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related party loan</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(600,000)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(791,077)</w:t>
            </w: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offering costs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(130,491)</w:t>
            </w:r>
          </w:p>
        </w:tc>
      </w:tr>
      <w:tr>
        <w:trPr>
          <w:trHeight w:val="210"/>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11,024,372</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1,673,128</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ectPr>
          <w:pgSz w:w="11900" w:h="16838" w:orient="portrait"/>
          <w:cols w:equalWidth="0" w:num="1">
            <w:col w:w="11240"/>
          </w:cols>
          <w:pgMar w:left="320" w:top="792"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640"/>
        <w:spacing w:after="0"/>
        <w:tabs>
          <w:tab w:leader="none" w:pos="1720" w:val="left"/>
        </w:tabs>
        <w:rPr>
          <w:sz w:val="20"/>
          <w:szCs w:val="20"/>
          <w:color w:val="auto"/>
        </w:rPr>
      </w:pPr>
      <w:r>
        <w:rPr>
          <w:rFonts w:ascii="Times New Roman" w:cs="Times New Roman" w:eastAsia="Times New Roman" w:hAnsi="Times New Roman"/>
          <w:sz w:val="18"/>
          <w:szCs w:val="18"/>
          <w:color w:val="auto"/>
        </w:rPr>
        <w:t>60,146</w:t>
      </w:r>
      <w:r>
        <w:rPr>
          <w:sz w:val="20"/>
          <w:szCs w:val="20"/>
          <w:color w:val="auto"/>
        </w:rPr>
        <w:tab/>
      </w:r>
      <w:r>
        <w:rPr>
          <w:rFonts w:ascii="Times New Roman" w:cs="Times New Roman" w:eastAsia="Times New Roman" w:hAnsi="Times New Roman"/>
          <w:sz w:val="18"/>
          <w:szCs w:val="18"/>
          <w:color w:val="auto"/>
        </w:rPr>
        <w:t>1,500,672</w:t>
      </w:r>
    </w:p>
    <w:p>
      <w:pPr>
        <w:spacing w:after="0" w:line="27" w:lineRule="exact"/>
        <w:rPr>
          <w:sz w:val="20"/>
          <w:szCs w:val="20"/>
          <w:color w:val="auto"/>
        </w:rPr>
      </w:pPr>
    </w:p>
    <w:p>
      <w:pPr>
        <w:jc w:val="both"/>
        <w:ind w:left="640"/>
        <w:spacing w:after="0"/>
        <w:tabs>
          <w:tab w:leader="none" w:pos="1940" w:val="left"/>
        </w:tabs>
        <w:rPr>
          <w:sz w:val="20"/>
          <w:szCs w:val="20"/>
          <w:color w:val="auto"/>
        </w:rPr>
      </w:pPr>
      <w:r>
        <w:rPr>
          <w:rFonts w:ascii="Times New Roman" w:cs="Times New Roman" w:eastAsia="Times New Roman" w:hAnsi="Times New Roman"/>
          <w:sz w:val="18"/>
          <w:szCs w:val="18"/>
          <w:color w:val="auto"/>
        </w:rPr>
        <w:t>64,893</w:t>
      </w:r>
      <w:r>
        <w:rPr>
          <w:sz w:val="20"/>
          <w:szCs w:val="20"/>
          <w:color w:val="auto"/>
        </w:rPr>
        <w:tab/>
      </w:r>
      <w:r>
        <w:rPr>
          <w:rFonts w:ascii="Times New Roman" w:cs="Times New Roman" w:eastAsia="Times New Roman" w:hAnsi="Times New Roman"/>
          <w:sz w:val="18"/>
          <w:szCs w:val="18"/>
          <w:color w:val="auto"/>
        </w:rPr>
        <w:t>31,862</w:t>
      </w:r>
    </w:p>
    <w:p>
      <w:pPr>
        <w:spacing w:after="0" w:line="31" w:lineRule="exact"/>
        <w:rPr>
          <w:sz w:val="20"/>
          <w:szCs w:val="20"/>
          <w:color w:val="auto"/>
        </w:rPr>
      </w:pPr>
    </w:p>
    <w:p>
      <w:pPr>
        <w:spacing w:after="0"/>
        <w:tabs>
          <w:tab w:leader="none" w:pos="520" w:val="left"/>
          <w:tab w:leader="none" w:pos="1320" w:val="left"/>
          <w:tab w:leader="none" w:pos="17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125,039</w:t>
      </w:r>
      <w:r>
        <w:rPr>
          <w:sz w:val="20"/>
          <w:szCs w:val="20"/>
          <w:color w:val="auto"/>
        </w:rPr>
        <w:tab/>
      </w:r>
      <w:r>
        <w:rPr>
          <w:rFonts w:ascii="Times New Roman" w:cs="Times New Roman" w:eastAsia="Times New Roman" w:hAnsi="Times New Roman"/>
          <w:sz w:val="18"/>
          <w:szCs w:val="18"/>
          <w:u w:val="single" w:color="auto"/>
          <w:color w:val="auto"/>
        </w:rPr>
        <w:t>$</w:t>
      </w:r>
      <w:r>
        <w:rPr>
          <w:sz w:val="20"/>
          <w:szCs w:val="20"/>
          <w:color w:val="auto"/>
        </w:rPr>
        <w:tab/>
      </w:r>
      <w:r>
        <w:rPr>
          <w:rFonts w:ascii="Times New Roman" w:cs="Times New Roman" w:eastAsia="Times New Roman" w:hAnsi="Times New Roman"/>
          <w:sz w:val="18"/>
          <w:szCs w:val="18"/>
          <w:u w:val="single" w:color="auto"/>
          <w:color w:val="auto"/>
        </w:rPr>
        <w:t>1,532,534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34290</wp:posOffset>
            </wp:positionV>
            <wp:extent cx="15601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560"/>
          </w:cols>
          <w:pgMar w:left="320" w:top="792" w:right="339" w:bottom="1440" w:gutter="0" w:footer="0" w:header="0"/>
          <w:type w:val="continuous"/>
        </w:sectPr>
      </w:pP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financing activities: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Original issue discount on bridge loan - related party</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300,000</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1,368,421</w:t>
            </w: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 of use asset, at lease commencement</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415,970</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536,605</w:t>
            </w: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Reclassified of deferred offering costs to APIC at the completion of the offering</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1,391,580</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6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Increase in bridge loan payable – prepaid and deferred offering costs paid directly by bridge loan provider on behalf</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4"/>
        </w:trPr>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of the Company</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31,346</w:t>
            </w: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Conversion of bridge loan to common stock</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11,748,464</w:t>
            </w: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Conversion of accrued compensation</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412,500</w:t>
            </w:r>
          </w:p>
        </w:tc>
      </w:tr>
      <w:tr>
        <w:trPr>
          <w:trHeight w:val="234"/>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Conversion of account payable to common stock</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1,377,090</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1 – D</w:t>
      </w:r>
      <w:r>
        <w:rPr>
          <w:rFonts w:ascii="Times New Roman" w:cs="Times New Roman" w:eastAsia="Times New Roman" w:hAnsi="Times New Roman"/>
          <w:sz w:val="12"/>
          <w:szCs w:val="12"/>
          <w:b w:val="1"/>
          <w:bCs w:val="1"/>
          <w:color w:val="auto"/>
        </w:rPr>
        <w:t>escription of</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usiness and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iquidity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NeOnc Technologies, Inc. (“NTI”) was incorporated on April 13, 2005, as a California corporation. On April 7, 2023, NTI merged into NeOnc Technologies Holdings, Inc. (“NTHI” and the combined entities “NeOnc” or the “Company”). NTHI was incorporated January 5, 2023, as a Delaware Corporation.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NeOnc is the developer of a novel molecular technology that provides enhanced targeted delivery of technologies for treating central nervous system diseases. The Company’s lead product, NEO100 is in clinical trials treating glioblastoma, and has Orphan Drug and Fast Track designation from the United States Food and Drug Administration (“FDA”). The Company licensed the underlying technology from the University of Southern California. (“USC”).</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11, 2024, the Company entered into an agreement with a broker dealer to serve as placement agent and provide broker services in connection with the proposed sale of common stock up to $10,000,000. Under this agreement, through December 31, 2024, the Company closed on commitments from investors to purchase 625,000 shares of common stock of the Company at $16 per share for total commitments of $10,000,000, which were to be held in escrow until the Company’s registration statement was declared effective. During the three months ended March 31, 2025, prior to the Company having an effective registration statement, the Company closed on an additional commitment to purchase 102,750 shares of common stock of the Company at $16 per share, for total commitments of $1,644,000, On March 10, 2025, the Company’s registration statement was declared effective at which time the $11,644,000 in escrow was released to the Company. On March 26, the Company was listed (“Listing”) on the NASDAQ global markets.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have been prepared on the basis that the Company is a going concern, which contemplates, among other things, the realization of assets and satisfaction of liabilities in the normal course of business. At June 30, 2025, the Company had cash totaling $125,039. For the three and six months ended June 30, 2025, the Company incurred a net loss of $5,680,170 and $38,006,186, respectively, and has an accumulated deficit of $88,614,631 at June 30, 2025. The Company has financed its working capital requirements to date primarily through the sale of common stock, shareholder loans and related party bridge loans.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does not have sufficient available capital to fund operations for a period of twelve months from the issuance date of these financial statements. Although the Company has established agreements with several funding potential sources (see Notes 6, 7 and 10), the Company does not know whether additional financing will be available when needed, whether it will be available on favorable terms, or if it will be available at all. These factors raise substantial doubt regarding the Company’s ability to continue as a going concern. The financial statements do not include any adjustments that might result from the outcome of this uncertainty.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and uncertainties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subject to risks common to biopharmaceutical companies, including, but not limited to, new technological innovations, dependence on key personnel, protection of proprietary technology, compliance with government regulations, product liability, and the uncertainty of market acceptance of products and the potential need to obtain additional financing. The Company is dependent on third-party suppliers and, in some cases, single-source suppliers. The Company’s products require approval or clearance from the FDA prior to commencing commercial sales in the United States. Approvals or clearances are also required in foreign jurisdictions where the Company may license or sell its products. There can be no assurance that the Company’s products will receive all required approvals or clearances.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can be no assurance that the Company’s products, if approved, will be accepted in the marketplace, nor can there be any assurance that any future products can be developed or manufactured at an acceptable cost with appropriate performance characteristics or that such products will be successfully marketed, if at all.</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2 – R</w:t>
      </w:r>
      <w:r>
        <w:rPr>
          <w:rFonts w:ascii="Times New Roman" w:cs="Times New Roman" w:eastAsia="Times New Roman" w:hAnsi="Times New Roman"/>
          <w:sz w:val="12"/>
          <w:szCs w:val="12"/>
          <w:b w:val="1"/>
          <w:bCs w:val="1"/>
          <w:color w:val="auto"/>
        </w:rPr>
        <w:t>estatement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reviously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ssued</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inancial</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restated the previously issued unaudited consolidated financial statements as of and for the quarter ended March 31, 2025 (the “Restatement”). The Restatement corrects an error for an overstatement of amortization of stock based compensation during the three months ended March 31, 2025. As previously reported in the Company’s Current Report on Form 8-K filed on August 18, 2025, the management of the Company, after discussions with and among the Audit Committee of the Board of Directors concluded that the Company’s unaudited consolidated financial statements as of and for quarter ended March 31, 2025 should no longer be relied upon and should be restated.</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impact of the Restatement on the Condensed Consolidated Balance Sheet (Unaudited), Condensed Consolidated Statement of Operations (Unaudited), Condensed Consolidated Statement of Cashflows (Unaudited), and the notes to the financial statement as of and for the three months ended March 31, 2025: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As of or For the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820" w:type="dxa"/>
            <w:vAlign w:val="bottom"/>
            <w:gridSpan w:val="6"/>
          </w:tcPr>
          <w:p>
            <w:pPr>
              <w:jc w:val="center"/>
              <w:ind w:left="913"/>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3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7320" w:type="dxa"/>
            <w:vAlign w:val="bottom"/>
          </w:tcPr>
          <w:p>
            <w:pPr>
              <w:spacing w:after="0"/>
              <w:rPr>
                <w:sz w:val="16"/>
                <w:szCs w:val="16"/>
                <w:color w:val="auto"/>
              </w:rPr>
            </w:pPr>
          </w:p>
        </w:tc>
        <w:tc>
          <w:tcPr>
            <w:tcW w:w="1240" w:type="dxa"/>
            <w:vAlign w:val="bottom"/>
            <w:gridSpan w:val="2"/>
          </w:tcPr>
          <w:p>
            <w:pPr>
              <w:jc w:val="right"/>
              <w:ind w:right="260"/>
              <w:spacing w:after="0" w:line="188" w:lineRule="exact"/>
              <w:rPr>
                <w:sz w:val="20"/>
                <w:szCs w:val="20"/>
                <w:color w:val="auto"/>
              </w:rPr>
            </w:pPr>
            <w:r>
              <w:rPr>
                <w:rFonts w:ascii="Times New Roman" w:cs="Times New Roman" w:eastAsia="Times New Roman" w:hAnsi="Times New Roman"/>
                <w:sz w:val="18"/>
                <w:szCs w:val="18"/>
                <w:b w:val="1"/>
                <w:bCs w:val="1"/>
                <w:color w:val="auto"/>
              </w:rPr>
              <w:t>Previously</w:t>
            </w:r>
          </w:p>
        </w:tc>
        <w:tc>
          <w:tcPr>
            <w:tcW w:w="140" w:type="dxa"/>
            <w:vAlign w:val="bottom"/>
          </w:tcPr>
          <w:p>
            <w:pPr>
              <w:spacing w:after="0"/>
              <w:rPr>
                <w:sz w:val="16"/>
                <w:szCs w:val="16"/>
                <w:color w:val="auto"/>
              </w:rPr>
            </w:pPr>
          </w:p>
        </w:tc>
        <w:tc>
          <w:tcPr>
            <w:tcW w:w="11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Restatement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320" w:type="dxa"/>
            <w:vAlign w:val="bottom"/>
          </w:tcPr>
          <w:p>
            <w:pPr>
              <w:spacing w:after="0"/>
              <w:rPr>
                <w:sz w:val="20"/>
                <w:szCs w:val="20"/>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Report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Restated</w:t>
            </w:r>
          </w:p>
        </w:tc>
        <w:tc>
          <w:tcPr>
            <w:tcW w:w="0" w:type="dxa"/>
            <w:vAlign w:val="bottom"/>
          </w:tcPr>
          <w:p>
            <w:pPr>
              <w:spacing w:after="0"/>
              <w:rPr>
                <w:sz w:val="1"/>
                <w:szCs w:val="1"/>
                <w:color w:val="auto"/>
              </w:rPr>
            </w:pPr>
          </w:p>
        </w:tc>
      </w:tr>
      <w:tr>
        <w:trPr>
          <w:trHeight w:val="209"/>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Condensed Balance Sheet</w:t>
            </w: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78,984,884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5,675,971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73,308,913</w:t>
            </w:r>
          </w:p>
        </w:tc>
        <w:tc>
          <w:tcPr>
            <w:tcW w:w="0" w:type="dxa"/>
            <w:vAlign w:val="bottom"/>
          </w:tcPr>
          <w:p>
            <w:pPr>
              <w:spacing w:after="0"/>
              <w:rPr>
                <w:sz w:val="1"/>
                <w:szCs w:val="1"/>
                <w:color w:val="auto"/>
              </w:rPr>
            </w:pPr>
          </w:p>
        </w:tc>
      </w:tr>
      <w:tr>
        <w:trPr>
          <w:trHeight w:val="257"/>
        </w:trPr>
        <w:tc>
          <w:tcPr>
            <w:tcW w:w="73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Accumulated Deficit</w:t>
            </w:r>
            <w:r>
              <w:rPr>
                <w:rFonts w:ascii="Times New Roman" w:cs="Times New Roman" w:eastAsia="Times New Roman" w:hAnsi="Times New Roman"/>
                <w:sz w:val="29"/>
                <w:szCs w:val="29"/>
                <w:color w:val="auto"/>
                <w:vertAlign w:val="superscript"/>
              </w:rPr>
              <w:t>(b)</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(88,610,432)</w:t>
            </w:r>
          </w:p>
        </w:tc>
        <w:tc>
          <w:tcPr>
            <w:tcW w:w="146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(5,675,971)</w:t>
            </w: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(82,934,461)</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Condensed Statement of Operations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32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Share based Compensation</w:t>
            </w:r>
            <w:r>
              <w:rPr>
                <w:rFonts w:ascii="Times New Roman" w:cs="Times New Roman" w:eastAsia="Times New Roman" w:hAnsi="Times New Roman"/>
                <w:sz w:val="29"/>
                <w:szCs w:val="29"/>
                <w:color w:val="auto"/>
                <w:vertAlign w:val="superscript"/>
              </w:rPr>
              <w:t>(b)(c)</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23,073,745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5,675,971</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17,397,774</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37,616,803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5,675,971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31,940,832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(37,576,813)</w:t>
            </w:r>
          </w:p>
        </w:tc>
        <w:tc>
          <w:tcPr>
            <w:tcW w:w="146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(5,675,971)</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(31,900,842)</w:t>
            </w:r>
          </w:p>
        </w:tc>
        <w:tc>
          <w:tcPr>
            <w:tcW w:w="0" w:type="dxa"/>
            <w:vAlign w:val="bottom"/>
          </w:tcPr>
          <w:p>
            <w:pPr>
              <w:spacing w:after="0"/>
              <w:rPr>
                <w:sz w:val="1"/>
                <w:szCs w:val="1"/>
                <w:color w:val="auto"/>
              </w:rPr>
            </w:pPr>
          </w:p>
        </w:tc>
      </w:tr>
      <w:tr>
        <w:trPr>
          <w:trHeight w:val="209"/>
        </w:trPr>
        <w:tc>
          <w:tcPr>
            <w:tcW w:w="73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5"/>
                <w:szCs w:val="15"/>
                <w:color w:val="auto"/>
              </w:rPr>
              <w:t>Net loss</w:t>
            </w:r>
            <w:r>
              <w:rPr>
                <w:rFonts w:ascii="Times New Roman" w:cs="Times New Roman" w:eastAsia="Times New Roman" w:hAnsi="Times New Roman"/>
                <w:sz w:val="23"/>
                <w:szCs w:val="23"/>
                <w:color w:val="auto"/>
                <w:vertAlign w:val="superscript"/>
              </w:rPr>
              <w:t>(a)(b)</w:t>
            </w:r>
          </w:p>
        </w:tc>
        <w:tc>
          <w:tcPr>
            <w:tcW w:w="1240" w:type="dxa"/>
            <w:vAlign w:val="bottom"/>
            <w:gridSpan w:val="2"/>
            <w:shd w:val="clear" w:color="auto" w:fill="CCEEFF"/>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(5,675,971</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1"/>
        </w:trPr>
        <w:tc>
          <w:tcPr>
            <w:tcW w:w="7320" w:type="dxa"/>
            <w:vAlign w:val="bottom"/>
            <w:shd w:val="clear" w:color="auto" w:fill="CCEEFF"/>
          </w:tcPr>
          <w:p>
            <w:pPr>
              <w:spacing w:after="0"/>
              <w:rPr>
                <w:sz w:val="7"/>
                <w:szCs w:val="7"/>
                <w:color w:val="auto"/>
              </w:rPr>
            </w:pPr>
          </w:p>
        </w:tc>
        <w:tc>
          <w:tcPr>
            <w:tcW w:w="1240" w:type="dxa"/>
            <w:vAlign w:val="bottom"/>
            <w:gridSpan w:val="2"/>
            <w:shd w:val="clear" w:color="auto" w:fill="CCEEFF"/>
          </w:tcPr>
          <w:p>
            <w:pPr>
              <w:jc w:val="right"/>
              <w:ind w:right="100"/>
              <w:spacing w:after="0" w:line="81" w:lineRule="exact"/>
              <w:rPr>
                <w:sz w:val="20"/>
                <w:szCs w:val="20"/>
                <w:color w:val="auto"/>
              </w:rPr>
            </w:pPr>
            <w:r>
              <w:rPr>
                <w:rFonts w:ascii="Times New Roman" w:cs="Times New Roman" w:eastAsia="Times New Roman" w:hAnsi="Times New Roman"/>
                <w:sz w:val="9"/>
                <w:szCs w:val="9"/>
                <w:color w:val="auto"/>
              </w:rPr>
              <w:t>(38,001,987</w:t>
            </w:r>
          </w:p>
        </w:tc>
        <w:tc>
          <w:tcPr>
            <w:tcW w:w="1240" w:type="dxa"/>
            <w:vAlign w:val="bottom"/>
            <w:gridSpan w:val="2"/>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00" w:type="dxa"/>
            <w:vAlign w:val="bottom"/>
            <w:gridSpan w:val="2"/>
            <w:shd w:val="clear" w:color="auto" w:fill="CCEEFF"/>
          </w:tcPr>
          <w:p>
            <w:pPr>
              <w:jc w:val="right"/>
              <w:ind w:right="100"/>
              <w:spacing w:after="0" w:line="81" w:lineRule="exact"/>
              <w:rPr>
                <w:sz w:val="20"/>
                <w:szCs w:val="20"/>
                <w:color w:val="auto"/>
              </w:rPr>
            </w:pPr>
            <w:r>
              <w:rPr>
                <w:rFonts w:ascii="Times New Roman" w:cs="Times New Roman" w:eastAsia="Times New Roman" w:hAnsi="Times New Roman"/>
                <w:sz w:val="9"/>
                <w:szCs w:val="9"/>
                <w:color w:val="auto"/>
              </w:rPr>
              <w:t>(32,326,016</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c>
          <w:tcPr>
            <w:tcW w:w="146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(0.32)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Condensed Statement of Cashflows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(38,001,987)</w:t>
            </w:r>
          </w:p>
        </w:tc>
        <w:tc>
          <w:tcPr>
            <w:tcW w:w="146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(5,675,971)</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(32,326,016)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based compensation adjustment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23,073,745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5,675,971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17,397,774</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Note 8 - Stock-Based Compensation</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RSUs at respective grant date</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37,336,500</w:t>
            </w:r>
          </w:p>
        </w:tc>
        <w:tc>
          <w:tcPr>
            <w:tcW w:w="146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(5,839,992)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31,496,508</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Unamortized portion</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14,262,755</w:t>
            </w:r>
          </w:p>
        </w:tc>
        <w:tc>
          <w:tcPr>
            <w:tcW w:w="146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(164,021)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14,098,734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term</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146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Catch up amortization as of the listing date</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22,756,463</w:t>
            </w:r>
          </w:p>
        </w:tc>
        <w:tc>
          <w:tcPr>
            <w:tcW w:w="146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(5,608,537)</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17,147,463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86"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restated as presented in Note 1 to the condensed consolidated financial statements for the three months ended March 31, 2025</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restated as presented in Note 7 to the condensed consolidated financial statements for the three months ended March 31, 2025</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restated as presented in Note 8 to the condensed consolidated financial statements for the three months ended March 31, 2025</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3 – B</w:t>
      </w:r>
      <w:r>
        <w:rPr>
          <w:rFonts w:ascii="Times New Roman" w:cs="Times New Roman" w:eastAsia="Times New Roman" w:hAnsi="Times New Roman"/>
          <w:sz w:val="12"/>
          <w:szCs w:val="12"/>
          <w:b w:val="1"/>
          <w:bCs w:val="1"/>
          <w:color w:val="auto"/>
        </w:rPr>
        <w:t>asis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resentation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ummary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ignificant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ccounting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unaudited condensed consolidated financial statements contained herein have been prepared by the Company pursuant to the rules and regulations of the Securities and Exchange Commission (the “SEC”). Certain information and note disclosures normally included in annual financial statements prepared in accordance with generally accepted accounting principles have been condensed or omitted pursuant to SEC rules and regulations, although the Company believes that the disclosures made are adequate to make the information not misleading. Accordingly, the condensed consolidated financial statements reflect all normal recurring adjustments, which are, in the opinion of management, necessary for a fair presentation of the results of interim periods and may not include all disclosures required by accounting principles generally accepted in the United States (“GAAP”). The information as of June 30, 2025, and for the three and six months ended June 30, 2025, is unaudited, whereas the consolidated balance sheet as of December 31, 2024, is derived from the Company’s audited condensed consolidated financial statements as of that date. These condensed consolidated financial statements and notes hereto should be read in conjunction with the consolidated financial statements and notes thereto included in the audited financial statements for the year ended December 31, 2024, included on Form S-1, filed with the SEC on February 26, 2025.</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results of operations for the interim periods presented are not necessarily indicative of results to be expected for any other interim period or for the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and related notes to the condensed consolidated financial statements include the accounts of the Company and its wholly owned subsidiary. All significant intercompany balances and transactions have been eliminated in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preparing the Company’s financial statements in conformity with GAAP, management is required to make estimates and assumptions that affect the reported amounts of assets and liabilities and disclosures of contingent assets and liabilities at the date of the financial statements, as well as the reported amounts of revenues and expenses during the reporting period. Actual results could differ from those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from time to time during the period covered by these financial statements, may have had bank account balances in excess of federally insured limits. The Company has not experienced losses in such accounts. For the statements of cash flows, the Company considers all short-term investments purchased with a maturity of three months or less to be cash equivalents. At June 30, 2025 and December 31, 2024, the Company has money market funds in the amount of approximately $80,000 and $25,000,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offering costs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complies with the requirements of the ASC 340-10-S99-1 and SEC Staff Accounting Bulletin (“SAB”) Topic 5A “</w:t>
      </w:r>
      <w:r>
        <w:rPr>
          <w:rFonts w:ascii="Times New Roman" w:cs="Times New Roman" w:eastAsia="Times New Roman" w:hAnsi="Times New Roman"/>
          <w:sz w:val="18"/>
          <w:szCs w:val="18"/>
          <w:i w:val="1"/>
          <w:iCs w:val="1"/>
          <w:color w:val="auto"/>
        </w:rPr>
        <w:t>Expenses of Offering</w:t>
      </w:r>
      <w:r>
        <w:rPr>
          <w:rFonts w:ascii="Times New Roman" w:cs="Times New Roman" w:eastAsia="Times New Roman" w:hAnsi="Times New Roman"/>
          <w:sz w:val="18"/>
          <w:szCs w:val="18"/>
          <w:color w:val="auto"/>
        </w:rPr>
        <w:t>”. Offering costs consist principally of professional and registration fees incurred through the condensed consolidated balance sheet dated December 31, 2024 that are related to the planned public offering of its securities (See Note 3). These costs have been capitalized and were recognized in equity upon the completion of the securities offering. At June 30, 2025, deferred offering costs consist of the fair value of shares issued in conjunction with the issuance of an equity purchase agreement. These costs have been capitalized and are being amortized over the term of the availability of the equity purchase agreement (Note 6). If planned offerings are terminated, the related capitalized deferred offering costs are written off.</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2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Debt issuance costs represent costs directly attributable to warrants issued for a line of credit commitment. Such costs represent the fair value of warrants issued to the debt facility provider and are amortized to the statement of operations on a straight-line basis which approximates the effective interest rate method, over the term of the debt instrument. The debt issuance costs, net of accumulated amortization, are classified as a long-term asset until the Company begins to draw funds from the debt facility, in accordance with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At such time, the pro-rata portion of amounts borrowed as compared to the total debt facility will be reclassified as a contra-debt account.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evaluates the terms of warrants issued and determines if the instrument requires liability or equity accounting classification under ASC 815: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Derivatives and Hedging and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classifies its leases either as operating or financing lease at inception. The company has an operating lease. This lease is recorded as an operating lease, right of use (ROU) assets and operating lease liabilities on the accompanying consolidated balance sheets.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lease ROU assets and the related lease liabilities are recognized based on the present value of the future minimum lease payments over the lease term at commencement date. The operating lease ROU assets also include lease incentives and initial direct costs incurred. For operating leases, interest on the lease liability and the amortization of ROU asset result in straight-line rent expense over the lease term. Leases may include options to extend or terminate the lease which are included in the ROU operating lease assets and operating lease liability when they are reasonably certain of exercise. Certain leases include lease and non-leased components, which are accounted for as one single lease component. Operating lease expense associated with minimum lease payments is recognized on a straight-line basis over the lease term.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FASB 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(“ASC 820”), defines fair value, the methods used to measure fair value and the expanded disclosures about fair value measurements. Fair value is the price received to sell an asset or paid to transfer a liability in an orderly transaction between the buyer and the seller at the measurement date. In determining fair value, the valuation techniques consistent with the market approach, income approach and cost approach shall be used to measure fair value. ASC 820 establishes a fair value hierarchy for inputs, representing the assumptions the buyer and seller use in pricing the asset or liability. These inputs are further defined as observable and unobservable inputs. Observable inputs are those that the buyer and seller would use in pricing the asset or liability based on market data obtained from sources independent of the Company. Unobservable inputs reflect the Company’s assumptions about the inputs the buyer and seller would use to price the asset or liability developed based on the best information available in the circumstances.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money market funds are valued at quoted prices in active markets and are classified as Level 1 within the fair value hierarchy. The carrying value of the Company’s accounts payable approximates its fair value because of the short-term nature of these financial instruments. The note payable - related party is reported at fair value as the Company elected the fair value option for such a note (see Note 4).</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The fair value hierarchy is categorized into three levels based on the inputs as follows:</w:t>
      </w:r>
    </w:p>
    <w:p>
      <w:pPr>
        <w:spacing w:after="0" w:line="225" w:lineRule="exact"/>
        <w:rPr>
          <w:sz w:val="20"/>
          <w:szCs w:val="20"/>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Valuations based on unadjusted quoted prices in active markets for identical assets or liabilities that the Company has the ability to access. Valuation adjustments and block discounts are not being applied. Since valuations are based on quoted prices that are readily and regularly available in an active market, the valuation of these securities does not entail a significant degree of judgment.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Valuations based on (i) quoted prices in active markets for similar assets and liabilities, (ii) quoted prices in markets that are not active for identical or similar assets, (iii) inputs other than quoted prices for the assets or liabilities, or (iv) inputs that are derived principally from or corroborated by the market through correlation or other means.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Valuations based on unobservable inputs and significant to the overall fair value measurement.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recognized point-in-time revenue of $0 and $39,990 for the three and six months ended June 30, 2025, and $20,000 and $63,000 for the three and six months ended June 30, 2024, respectively, for the sale/license of technology where the Company has no further performance obligations.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include personnel costs associated with research and development activities, including third-party contractors performing research, conducting clinical trials, and manufacturing drug supplies and materials.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 costs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patent-related costs incurred in filing and prosecuting patent applications are expensed as incurred due to the uncertainty about the recovery of the expenditure. Amounts incurred are classified as legal and professional expenses in the accompanying consolidated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granted stock options and common shares to employees, non-employee consultants and non-employee members of our Board of Directors. The Company measures the compensation cost associated with all share-based payments based on the grant date fair values. Compensation costs associated with grants of common shares are measured at fair value at the date of grant, which has historically been the most recent price paid by investors to purchase shares of the Company’s common stock prior to such grant. The Company recognizes share-based compensation expense over the requisite service period of each award, which generally equals the vesting period, using the straight-line method for awards that contain only service conditions. If the stock grant is contingent upon events that have not yet happened, then the grant is not considered issued. If an award holder leaves the company prior to vesting, and adjustment of the compensation expense will be made to reflect only those awards that vested.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the stock-based compensation expense for the restricted stock units (“RSU”) based upon the fair value of the common stock at the date of the grant. The expense is recognized over the service period provided in the RSU awards, however expense will not be recognized until the listing date (“Listing Date”), as prior to such date it was not probable that condition to commence vesting would be met.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the vesting contingency is met, the Company will commence to recognize expense related to the RSU’s. For time based vested RSU’s, the expense will be recognized on a straight-line basis from the grant date to the last vesting date. The expense recognized will include the expense from the date of the grant over the total vesting period and reflect the portion attributable to the service provided prior to the listing. For performance based RSU’s, the Company will determine the probability of the contingency being met each quarter end based upon an assessment of progress made under such performance criteria.</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net loss per share is computed by dividing net loss available to common stockholders by the weighted average number of common shares outstanding during the period. Diluted net loss per share is computed by dividing net loss by the sum of the weighted average number of common shares outstanding during the period. For periods in which the Company reports a net loss, the diluted net loss per share is the same as basic net loss per share.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2025 there are potentially dilutive securities outstanding of 3,010,000 potentially dilutive restricted stock units which are not included in the diluted net loss per share calculation since their effect is anti-dilutive. For the six months ended June 30, 2024, respectively, there were no potentially dilutive warrants outstanding and no potentially dilutive restricted stock units.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recognizes federal, state, and foreign current tax liabilities or assets based on its estimate of taxes payable to or refundable by tax authorities in the current fiscal year. For the periods ended June 30, 2025 and 2024, there is no current tax provision due to losses generated. The Company also recognizes federal and state deferred tax liabilities or assets based on the Company’s estimate of future tax effects attributable to temporary differences and carry forwards. Deferred tax assets and liabilities are measured using enacted tax rates expected to apply to taxable income in the years those temporary differences are expected to be recovered or settled.</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Deferred tax assets are reduced by valuation allowances if, based on the consideration of all available evidence, it is more likely than not that some portion of the deferred tax asset will not be realized. The Company evaluates deferred income taxes quarterly to determine if valuation allowances are required by considering available evidence. If the Company is unable to generate sufficient future taxable income in certain tax jurisdictions, or if there is a material change in the actual effective tax rates or time period within which the underlying temporary differences become taxable or deductible, the Company could be required to increase its valuation allowance against its deferred tax assets which could result in an increase in the Company’s effective tax rate and an adverse impact on operating results. The Company will continue to evaluate the necessity of the valuation allowance based on the remaining deferred tax assets. The difference between the statutory and effective rates for the three and six months ended June 30, 2025 and 2024 is a result of the Company applying a full valuation allowance against any deferred tax assets as a result of net operating losses due to uncertainties surrounding the usability of such net operating losses. The ability to utilize such net operating loss carry forwards may be limited due to possible changes in ownership as defined under Internal Revenue Code section 382.</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follows the accounting guidance related to financial statement recognition, measurement and disclosure of uncertain tax positions. The Company recognizes the impact of an uncertain income tax position on an income tax return at the largest amount that is more likely than not to be sustained upon audit by the relevant taxing authority. An uncertain income tax position will not be recognized if it is less than 50% likely to be sustained. Uncertain tax positions are recognized in the first subsequent financial reporting period in which that threshold is met or from changes in circumstances such as the expiration of applicable statutes of limitations. The Company will recognize interest and penalties related to tax positions in income tax expense.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280): Improvements to Reportable Segment Disclosures</w:t>
      </w:r>
      <w:r>
        <w:rPr>
          <w:rFonts w:ascii="Times New Roman" w:cs="Times New Roman" w:eastAsia="Times New Roman" w:hAnsi="Times New Roman"/>
          <w:sz w:val="18"/>
          <w:szCs w:val="18"/>
          <w:color w:val="auto"/>
        </w:rPr>
        <w:t>.” The standard expands reportable segment disclosure requirements for public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entities primarily through enhanced disclosures about significant segment expenses that are regularly provided to the chief operating decision maker (“CODM”) and included within each reported measure of segment profit (referred to as the “significant expense principle”). The standard has been adopted for our fiscal year 2024 annual financial statements and interim financial statements thereafter and have applied this standard retrospectively for all prior periods presented in the financial statements.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4 – R</w:t>
      </w:r>
      <w:r>
        <w:rPr>
          <w:rFonts w:ascii="Times New Roman" w:cs="Times New Roman" w:eastAsia="Times New Roman" w:hAnsi="Times New Roman"/>
          <w:sz w:val="12"/>
          <w:szCs w:val="12"/>
          <w:b w:val="1"/>
          <w:bCs w:val="1"/>
          <w:color w:val="auto"/>
        </w:rPr>
        <w:t>elated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arty</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AFH Holdings and Advisory, LLC advisory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19, 2022, the Company entered into an advisory agreement with AFH Holdings and Advisory, LLC, an affiliate to assist the Company in connection with its intent to affect a public listing. AFH was retained to assist the Company with investor presentations and decks, coordinate the retention of an investment banker for an initial public offering, identify legal and accounting professionals to assist in connection with such public offering, identify investor relations/public relations firms, advise on private capital markets activities prior to the initial public offering and coordinate the closing process for the offering.</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July 12, 2024, the Company amended the AFH advisory agreement section to allow for an upfront payment on the Listing Date of $2,500,000 and the remaining amount of the fee to be paid in equal monthly instalments for one year. AFH was paid a fee of $500,000 for the amendment.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26, 2025, and as a result of the listing of the Company on Nasdaq, the Company incurred $11,328,565 for the fee earned in accordance with the AFH advisory agreement which was recorded as advisory fee expense in the condensed consolidated statement of operations. In accordance with the amendment, the Company paid $2,500,000 of such fee on March 26, 2025. The remaining balance of $8,828,565 is payable in 12 equal monthly installments commencing in April 2025. As of June 30, 2025, the remaining outstanding accrued advisory fee totaled $5,882,710 recorded on the condensed consolidated balance within accrued advisory fee – related party.</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the Company agreed to retain AFH as an exclusive advisor to the Company on all financing and mergers and acquisitions for a period of two (2) years from the closing of the private securities offering.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USC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maintains a license agreement with USC, under which the Company will pay USC an annual patent maintenance fee of $20,000 and nonrefundable earned royalties of 4% on Net Sales (as defined in the Amended Agreement) of Licensed Products covered by the licensed patents in all countries in which the manufacture, use, sale, offer for sale, or import of such Licensed Products, as such capitalized terms are defined in the Amended Agreement. To date, no sales have been made using Licensed Products, and no royalties are due to USC. In addition, the Company will assume responsibility for patent-related costs.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also utilizes laboratory and patent maintenance services from USC. The Company incurred $82,225 and $184,449 and $191,239 and $283,473 related to such services for the three and six months ended June 30, 2025 and 2024, respectively, of which $82,225, $164,449 and $191,239 and $263,473 are recorded within research and development expenses and $0, $20,000 and $0 and 20,000 are recorded within general administrative expenses on the condensed consolidated statements of operations. At June 30, 2025 and December 31, 2024, the Company has outstanding payables to USC for such services of $499,225 and $272,328 respectively, which is included in accounts payable - related parties in the accompanying consolidated balance sheets.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compensation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amount accrued for the management team, including related payroll taxes, was $255,105 and $734,874 as June 30, 2025 and December 31,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5 – R</w:t>
      </w:r>
      <w:r>
        <w:rPr>
          <w:rFonts w:ascii="Times New Roman" w:cs="Times New Roman" w:eastAsia="Times New Roman" w:hAnsi="Times New Roman"/>
          <w:sz w:val="12"/>
          <w:szCs w:val="12"/>
          <w:b w:val="1"/>
          <w:bCs w:val="1"/>
          <w:color w:val="auto"/>
        </w:rPr>
        <w:t>elated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arty</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oans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ayable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Bridge Loan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2023, the Company entered into a non-interest bearing, non-convertible promissory note with HCWG LLC (the “Bridge Loan”). Borrowings under the Bridge Loan carry a 50% (or 1 times cash amounts borrowed) original issue discount (“OID”) on principal and through subsequent amendments the maximum cash borrowing was increased to $10,000,000. The outstanding amounts under this Bridge Loan were payable at the earlier of the date the Company completes an IPO or December 4, 2024 (the “Maturity Date”).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4" w:name="page15"/>
    <w:bookmarkEnd w:id="14"/>
    <w:p>
      <w:pPr>
        <w:jc w:val="both"/>
        <w:spacing w:after="0" w:line="261" w:lineRule="auto"/>
        <w:rPr>
          <w:sz w:val="20"/>
          <w:szCs w:val="20"/>
          <w:color w:val="auto"/>
        </w:rPr>
      </w:pPr>
      <w:r>
        <w:rPr>
          <w:rFonts w:ascii="Times New Roman" w:cs="Times New Roman" w:eastAsia="Times New Roman" w:hAnsi="Times New Roman"/>
          <w:sz w:val="18"/>
          <w:szCs w:val="18"/>
          <w:color w:val="auto"/>
        </w:rPr>
        <w:t>Through March 31, 2024, the Company had received under the Bridge Loan an aggregate of $7,116,335. The OID was recognized ratably over the term of each draw-down under the Bridge Loan through the Maturity Date unless settled earlier, at which point the accretion is accelerated. Accretion of the OID for the three months ended March 31, 2024, amounted to $1,387,493, which is included in interest expense in the accompanying consolidated statement of operations. Summary of the bridge loan activity for the three and six months ended June 30, 2024 is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For the</w:t>
            </w:r>
          </w:p>
        </w:tc>
      </w:tr>
      <w:tr>
        <w:trPr>
          <w:trHeight w:val="216"/>
        </w:trPr>
        <w:tc>
          <w:tcPr>
            <w:tcW w:w="1002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w:t>
            </w:r>
          </w:p>
        </w:tc>
      </w:tr>
      <w:tr>
        <w:trPr>
          <w:trHeight w:val="216"/>
        </w:trPr>
        <w:tc>
          <w:tcPr>
            <w:tcW w:w="10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10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38"/>
        </w:trPr>
        <w:tc>
          <w:tcPr>
            <w:tcW w:w="100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0"/>
                <w:szCs w:val="20"/>
                <w:color w:val="auto"/>
              </w:rPr>
            </w:pPr>
          </w:p>
        </w:tc>
      </w:tr>
      <w:tr>
        <w:trPr>
          <w:trHeight w:val="21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Bridge loan – carrying value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March 31, 2024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11,378,683</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Borrowings</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221,075</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OID</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221,075</w:t>
            </w:r>
          </w:p>
        </w:tc>
      </w:tr>
      <w:tr>
        <w:trPr>
          <w:trHeight w:val="229"/>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Repayments</w:t>
            </w:r>
          </w:p>
        </w:tc>
        <w:tc>
          <w:tcPr>
            <w:tcW w:w="1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(72,369)</w:t>
            </w:r>
          </w:p>
        </w:tc>
      </w:tr>
      <w:tr>
        <w:trPr>
          <w:trHeight w:val="209"/>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June 30, 2024</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11,748,464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Conversion to common stock</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(11,748,464</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outstanding at June 30, 2024</w:t>
            </w: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10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06"/>
        </w:trPr>
        <w:tc>
          <w:tcPr>
            <w:tcW w:w="10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For the</w:t>
            </w:r>
          </w:p>
        </w:tc>
      </w:tr>
      <w:tr>
        <w:trPr>
          <w:trHeight w:val="216"/>
        </w:trPr>
        <w:tc>
          <w:tcPr>
            <w:tcW w:w="10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rPr>
              <w:t>Six Months</w:t>
            </w:r>
          </w:p>
        </w:tc>
      </w:tr>
      <w:tr>
        <w:trPr>
          <w:trHeight w:val="216"/>
        </w:trPr>
        <w:tc>
          <w:tcPr>
            <w:tcW w:w="10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10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38"/>
        </w:trPr>
        <w:tc>
          <w:tcPr>
            <w:tcW w:w="100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0"/>
                <w:szCs w:val="20"/>
                <w:color w:val="auto"/>
              </w:rPr>
            </w:pPr>
          </w:p>
        </w:tc>
      </w:tr>
      <w:tr>
        <w:trPr>
          <w:trHeight w:val="21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Bridge loan – carrying value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January 1, 2024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9,802,697</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Borrowings</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1,368,422</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OID</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1,368,422</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Repayments</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(791,077)</w:t>
            </w:r>
          </w:p>
        </w:tc>
      </w:tr>
      <w:tr>
        <w:trPr>
          <w:trHeight w:val="209"/>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June 30, 2024</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11,748,464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Conversion to common stock</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(11,748,464)</w:t>
            </w:r>
          </w:p>
        </w:tc>
        <w:tc>
          <w:tcPr>
            <w:tcW w:w="100" w:type="dxa"/>
            <w:vAlign w:val="bottom"/>
            <w:tcBorders>
              <w:bottom w:val="single" w:sz="8" w:color="CCEEFF"/>
            </w:tcBorders>
          </w:tcPr>
          <w:p>
            <w:pPr>
              <w:spacing w:after="0"/>
              <w:rPr>
                <w:sz w:val="18"/>
                <w:szCs w:val="18"/>
                <w:color w:val="auto"/>
              </w:rPr>
            </w:pPr>
          </w:p>
        </w:tc>
      </w:tr>
      <w:tr>
        <w:trPr>
          <w:trHeight w:val="223"/>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outstanding at June 30, 2024</w:t>
            </w: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10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14, 2024, the Company reached an agreement with HCWG LLC to convert the outstanding principal and interest on the Bridge Loan into 979,039 shares of common stock. As a result of this conversion, the Bridge Loan was terminated and is no longer available to the Company for borrowing. The Company has a receivable due from HCWG LLC totaling $148,705 which is recorded within prepaid expenses and other on the condensed consolidated balance sheet at June 30, 2025 and December 31, 2024,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Advances from Executive Chairman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February 2025, our Executive Chairman advanced the Company approximately $300,000. The advances carry a 50% (or 1 times amounts borrowed) original issue discount (“OID”) on the principal. On March 10, 2025, the advance and 1x interest was repaid. Interest expense in the amount of $300,000 is included in the condensed consolidated statement of operations as interest expense – related parties for the six months ended June 30, 2025.</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6 – L</w:t>
      </w:r>
      <w:r>
        <w:rPr>
          <w:rFonts w:ascii="Times New Roman" w:cs="Times New Roman" w:eastAsia="Times New Roman" w:hAnsi="Times New Roman"/>
          <w:sz w:val="12"/>
          <w:szCs w:val="12"/>
          <w:b w:val="1"/>
          <w:bCs w:val="1"/>
          <w:color w:val="auto"/>
        </w:rPr>
        <w:t>eases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 2024, the Company entered a 24-month lease for office space, which calls for a monthly base rent of $25,000, increasing at 3% per annum. The Company has only one operating lease and has no financing leases. The Company’s lease does not contain options to renew or extend the lease term or options to terminate leases early, except for insolvency. On November 27, 2024, the Company amended the lease expiration date from January 31, 2026, to January 31, 2025. As of December 31, 2024, the consolidated balance sheet reflects a right-of-use asset of $23,526 and a lease liability of $24,722. The lease liability was computed using an interest rate of 13.49% and as of December 31, 2024, the lease has a remaining life of one month.</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April 2025, the Company entered into a 63 month lease for office space which calls for a monthly base rent of $6,778.25, increasing at approximately 3% per annum. The lease liability was computed using an interest rate of 3.72% and as of June 30, 2025 the lease has a remaining 61 months. In calculating the present value of future lease payments, the Company utilized its incremental borrowing rate based on the lease term. The Company’s net lease non-lease components (e.g., standard area maintenance, maintenance, consumables, etc.) are paid separately from rent based on actual costs incurred and, therefore, are not included in the right-of-use asset and lease liability and are reflected as an expense in the period incurred. At June 30, 2025 the consolidated balance sheet reflects a right-of-use asset of $397,817 and a lease liability of $395,512.</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lease expense of $15,581 and $56,325 during the three months ended June 30, 2025 and 2024, respectively, and $40,303 and $111,793 during the six months ended June 30, 2025, and 2024, respectively, within general and administrative expenses on the consolidated statements of operations. Cash paid for amounts included in the measurement of lease liability was $13,557 and $75,000 and $38,557 and $125,000, respectively, during the three and six months ended June 30, 2025, and 2024,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the expected maturities of lease liabilities for operating leases as of June 30, 2025:</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Twelve Months Ended December 31,</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40,670</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83,137</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85,663</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88,231</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90,928</w:t>
            </w:r>
          </w:p>
        </w:tc>
        <w:tc>
          <w:tcPr>
            <w:tcW w:w="0" w:type="dxa"/>
            <w:vAlign w:val="bottom"/>
          </w:tcPr>
          <w:p>
            <w:pPr>
              <w:spacing w:after="0"/>
              <w:rPr>
                <w:sz w:val="1"/>
                <w:szCs w:val="1"/>
                <w:color w:val="auto"/>
              </w:rPr>
            </w:pPr>
          </w:p>
        </w:tc>
      </w:tr>
      <w:tr>
        <w:trPr>
          <w:trHeight w:val="23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44,944</w:t>
            </w:r>
          </w:p>
        </w:tc>
        <w:tc>
          <w:tcPr>
            <w:tcW w:w="0" w:type="dxa"/>
            <w:vAlign w:val="bottom"/>
          </w:tcPr>
          <w:p>
            <w:pPr>
              <w:spacing w:after="0"/>
              <w:rPr>
                <w:sz w:val="1"/>
                <w:szCs w:val="1"/>
                <w:color w:val="auto"/>
              </w:rPr>
            </w:pPr>
          </w:p>
        </w:tc>
      </w:tr>
      <w:tr>
        <w:trPr>
          <w:trHeight w:val="210"/>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433,573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(38,061)</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lease liability</w:t>
            </w: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395,512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2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Less: current portion</w:t>
            </w: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(68,633</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10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Noncurrent portion</w:t>
            </w: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002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326,879</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7 – C</w:t>
      </w:r>
      <w:r>
        <w:rPr>
          <w:rFonts w:ascii="Times New Roman" w:cs="Times New Roman" w:eastAsia="Times New Roman" w:hAnsi="Times New Roman"/>
          <w:sz w:val="12"/>
          <w:szCs w:val="12"/>
          <w:b w:val="1"/>
          <w:bCs w:val="1"/>
          <w:color w:val="auto"/>
        </w:rPr>
        <w:t>ommon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referred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total number of shares of common stock available for issue by NTHI is 100,000,000 shares of common stock at $0.0001 par value per share and the total number of shares of preferred stock is 10,000,000 at a par value of $0.0001. As of June 30, 2025, no preferred shares have been issued. The board of directors is authorized, subject to any limitations prescribed by law, to provide for the issuance of shares of Preferred Stock in one or more series, and by filing a certificate pursuant to the applicable law of the State of Delaware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to establish from time to time the number of shares to be included in each such series, and to fix the designation, powers, preferences, and rights of the shares of each wholly unissued series and any qualifications, limitations or restrictions thereof. The number of authorized shares of Preferred Stock may be increased or decreased (but not below the number of shares thereof then outstanding) by the affirmative vote of the holders of a majority of the Common Stock, without a vote of the holders of the Preferred Stock, or any series thereof, unless a vote of any such holders is required pursuant to the terms of any Preferred Stock Designation.</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6" w:name="page17"/>
    <w:bookmarkEnd w:id="16"/>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2025, the Company sold 727,750 shares of common stock at a price of $16 per share for gross proceeds of $11,644,005 pursuant to a private placement of its securities, issued 46,000 shares as part of advisory services related to the listing and as part of the private placement fee for our equity line of credit, 162,500 shares were issued for the cashless exercise of warrants, and the release of 3,310,000 shares for restricted stock units.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The net proceeds from the sale of common stock, were calculated as follows: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10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 from sale of common stock</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11,644,005</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of deferred offering costs to APIC at the completion of the offering</w:t>
            </w: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(1,391,580)</w:t>
            </w:r>
          </w:p>
        </w:tc>
      </w:tr>
      <w:tr>
        <w:trPr>
          <w:trHeight w:val="223"/>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Net proceeds from the sale of common stock</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10,252,425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11, 2024, the Company entered into an agreement with RBW Capital Partners LLC, a division of Dawson James Securities, Inc. (“Broker”) to serve as placement agent and provide broker services in connection with the possible sale of common stock up to $10 million. If a sale is made between the Company and any institutional or individual third-party funding source introduced by the placement agent, the Company will pay a placement fee of 8% of the gross proceeds. In addition, the company agrees to pay; (a) 1.0% of the gross proceeds for non-accountable expenses; and (b) out of pocket expenses plus the costs associated with the use of a third-party electronic road show service up to $10,000. The agreement expired on January 11, 2025 and was amended and restated on January 29, 2025 to extend the term for another six months through July 29, 2025 and increased the placement fee to 12% from 8% of the gross proceeds, and eliminated the 1% non-accountable expense fee.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this agreement, through December 31, 2024, the Company closed on commitments from investors to purchase 625,000 shares of common stock of the Company at $16 per share for total commitments of $10,000,000, which were to be held in escrow until the Company’s registration statement was declared effective. During the three months ended March 31, 2025, prior to the Company having an effective registration statement, the Company closed on an additional commitment to purchase 102,750 shares of common stock of the Company at $16 per share, for total commitments of $1,644,005, also to be held in escrow until the Company’s registration statement was declared effective. On March 25, 2025, the Company’s registration statement was declared effective at which time the $11,644,005 in escrow was released to the Company.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agreement, the Company paid $300,000 in placement agent fees to Broker for securing $2,500,000 in commitments for the Private Placement. This fee was paid when the funds were released from escrow and recorded as a reduction to additional paid-in capital on the condensed consolidated statement of shareholders’ deficit as of June 30,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Advisory Services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3, 2024, as amended on January 23, 2025, the Company entered into an agreement with Broker, for financial advisory and investment banking services in connection with a direct listing of the Company’s common stock on the Nasdaq Global Market or other major US market. The agreement provides for a one-time fee of $250,000 payable three days after the direct listing and the issuance of 30,000 shares of common stock (which are restricted until the shares are registered by filing a resale S-1 within 30 days after the effective date of the direct listing). In addition, the Company agreed to pay up to $100,000 for fees and expenses of legal counsel and other out-of-pocket expenses plus the costs associated with the use of a third-party electronic road show service. Such fees were included in accounts payable and deferred offering costs in the accompanying consolidated balance sheets as of December 31, 2024. The fair value of the 30,000 shares issued in March 2025, amounting to $363,300, was determined using the closing day price of $12.11. This amount was recorded as an advisory fee on the condensed consolidated statement of operations. The agreement expired on January 3, 2025 and was amended and restated on January 23, 2025 to extend the term for another six months through July 23, 2025. No additional fees are expected under this agreement.</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Deferred Offering Costs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offering costs relating to the Private Placement and direct listing at December 31, 2024 totaled $1,071,947. At June 30, 2025, this amount plus $0 and $319,633 incurred in the three and six months ended June 30, 2025, respectively was reclassified against the common stock issued in the condensed consolidated statement of changes in shareholder’s deficit.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Purchase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22, 2024, we entered into an equity purchase agreement (the “Equity Purchase Agreement”) with Mast Hill Fund, LP (“Mast Hill”) pursuant to which the Company may sell and issue to Mast Hill, and the investor may purchase from the Company, up to $50,000,000 of Company’s common shares. Under the Equity Purchase Agreement, the Company has the right, but not the obligation, to direct Mast Hill, by its delivery to the Mast Hill of a Put Notice from time to time, to purchase Put Shares (i) in a minimum amount not less than $50,000 and (ii) in a maximum amount up to the lesser of (a) $750,000 or (b) 150% of the average trading volume of the Company’s common stock during the five trading days immediately preceding the Put Date. The Company could draw down any funds under the Equity Purchase Agreement until the Company has an effective registration statement.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actual amount of proceeds we receive pursuant to each Put Notice (each, the “Put Amount”) is determined by multiplying the Put Amount requested by the applicable purchase price. The purchase price for each of the Put Shares equals 95% of the Market Price, (as defined below) less the Clearing Costs (as defined below). Market Price is the lowest volume weighted average prices of the Company’s common shares on its principal market on any trading day during the Valuation Period (as defined below). The Valuation Period is the five trading days immediately following the date on which Mast Hill receives the Put Shares in its brokerage account. Clearing Costs are all the fees incurred by Mast Hill with respect to its brokerage firm, clearing firm, Company transfer agent fees, and attorney fees, with respect to the Put Shares.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term of the Equity Purchase Agreement will commence on the effective date of the direct listing and will terminate on the earlier of i) the date on which the Mast Hill shall have purchased Put Shares equal to the $50,000,000, (ii) twenty-four (24) months after the date of the Equity Purchase Agreement, (iii) written notice of termination by the Company to Mast Hill, (iv) this Registration Statement is no longer effective after the initial effective date of this Registration Statement, or (v) the date that, pursuant to or within the meaning of any Bankruptcy Law, the Company commences a voluntary case or any Person commences a proceeding against the Company, a receiver, trustee, assignee, liquidator or similar official is appointed for the Company or for all or substantially all of its property or the Company makes a general assignment for the benefit of its creditors. As of June 30, 2025, nothing has been transacted under this agreement.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this agreement, we issued 16,000 shares of common stock to Mast Hill. The fair value of the shares granted to Mast Hill upon issuance was determined by using the closing day price of $12.11. Such amount net of amortization was recorded as deferred offering cost on the condensed consolidated balance sheet as of March 31, 2025. For the three and six months ended June 30, 2025, the Company reported $48,440 and $70,238, respectively as amortization expense in the condensed consolidated statement of operations, and the remaining deferred offering costs of $123,520 at June 30, 2025 are to be amortized over the remaining term of the Equity Purchase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agreement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July 2025, the Company sold 132,342 shares of common stock at $3.73 per share for gross proceeds of approximately $493,000 pursuant to Equity Purchase Agreement with Mast Hill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8 – S</w:t>
      </w:r>
      <w:r>
        <w:rPr>
          <w:rFonts w:ascii="Times New Roman" w:cs="Times New Roman" w:eastAsia="Times New Roman" w:hAnsi="Times New Roman"/>
          <w:sz w:val="12"/>
          <w:szCs w:val="12"/>
          <w:b w:val="1"/>
          <w:bCs w:val="1"/>
          <w:color w:val="auto"/>
        </w:rPr>
        <w:t>egment</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manages our business activities on a consolidated basis and operates as a single operating segment: Biotechnology. The accounting policies of the Biotechnology segment are the same as those described in Note 1 – Summary of Significant Accounting Policies.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8" w:name="page19"/>
    <w:bookmarkEnd w:id="18"/>
    <w:p>
      <w:pPr>
        <w:jc w:val="both"/>
        <w:spacing w:after="0" w:line="258" w:lineRule="auto"/>
        <w:rPr>
          <w:sz w:val="20"/>
          <w:szCs w:val="20"/>
          <w:color w:val="auto"/>
        </w:rPr>
      </w:pPr>
      <w:r>
        <w:rPr>
          <w:rFonts w:ascii="Times New Roman" w:cs="Times New Roman" w:eastAsia="Times New Roman" w:hAnsi="Times New Roman"/>
          <w:sz w:val="18"/>
          <w:szCs w:val="18"/>
          <w:color w:val="auto"/>
        </w:rPr>
        <w:t>Our Chief Operating Decision Maker (“CODM”) is our President and Chief Executive Officer, Dr. Chen. The CODM uses net loss, as reported on our condensed consolidated statement of operations, in evaluating the performance of the biotechnology segment and determining how to allocate resources of the Company as a whole, including investing in our research and development programs and acquisition/licensing strategy. The CODM does not review assets in evaluating the results of the biotechnology segment, and therefore, such information is not presented. The following supplemental information breaks down the research and development costs for the three and six months ended June 30, 2025 and 2024, respectively.</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5"/>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38"/>
        </w:trPr>
        <w:tc>
          <w:tcPr>
            <w:tcW w:w="47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40" w:type="dxa"/>
            <w:vAlign w:val="bottom"/>
            <w:tcBorders>
              <w:bottom w:val="single" w:sz="8" w:color="CCEEFF"/>
            </w:tcBorders>
          </w:tcPr>
          <w:p>
            <w:pPr>
              <w:spacing w:after="0"/>
              <w:rPr>
                <w:sz w:val="18"/>
                <w:szCs w:val="18"/>
                <w:color w:val="auto"/>
              </w:rPr>
            </w:pPr>
          </w:p>
        </w:tc>
        <w:tc>
          <w:tcPr>
            <w:tcW w:w="39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9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39,990</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Significant and other segment expenses:</w:t>
            </w:r>
          </w:p>
        </w:tc>
        <w:tc>
          <w:tcPr>
            <w:tcW w:w="3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NEO100</w:t>
            </w:r>
          </w:p>
        </w:tc>
        <w:tc>
          <w:tcPr>
            <w:tcW w:w="3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688,628</w:t>
            </w:r>
          </w:p>
        </w:tc>
        <w:tc>
          <w:tcPr>
            <w:tcW w:w="26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456,721</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NEO100-02</w:t>
            </w:r>
          </w:p>
        </w:tc>
        <w:tc>
          <w:tcPr>
            <w:tcW w:w="3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201,787</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123,431</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NEO212</w:t>
            </w:r>
          </w:p>
        </w:tc>
        <w:tc>
          <w:tcPr>
            <w:tcW w:w="3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455,629</w:t>
            </w:r>
          </w:p>
        </w:tc>
        <w:tc>
          <w:tcPr>
            <w:tcW w:w="26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359,696</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Pediatric</w:t>
            </w:r>
          </w:p>
        </w:tc>
        <w:tc>
          <w:tcPr>
            <w:tcW w:w="3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99,010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68,988</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Laboratory</w:t>
            </w:r>
          </w:p>
        </w:tc>
        <w:tc>
          <w:tcPr>
            <w:tcW w:w="3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192,377</w:t>
            </w:r>
          </w:p>
        </w:tc>
        <w:tc>
          <w:tcPr>
            <w:tcW w:w="26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38,123</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0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39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1,675,554</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Advisory fee</w:t>
            </w:r>
          </w:p>
        </w:tc>
        <w:tc>
          <w:tcPr>
            <w:tcW w:w="3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11,737,806</w:t>
            </w:r>
          </w:p>
        </w:tc>
        <w:tc>
          <w:tcPr>
            <w:tcW w:w="26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and accounting</w:t>
            </w:r>
          </w:p>
        </w:tc>
        <w:tc>
          <w:tcPr>
            <w:tcW w:w="3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1,477,909</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1,155,338</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Employee Expenses</w:t>
            </w:r>
          </w:p>
        </w:tc>
        <w:tc>
          <w:tcPr>
            <w:tcW w:w="3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334,160</w:t>
            </w:r>
          </w:p>
        </w:tc>
        <w:tc>
          <w:tcPr>
            <w:tcW w:w="26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145,724</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issuance and deferred offering costs amortization</w:t>
            </w:r>
          </w:p>
        </w:tc>
        <w:tc>
          <w:tcPr>
            <w:tcW w:w="3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360,200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111,793</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Investor relations</w:t>
            </w:r>
          </w:p>
        </w:tc>
        <w:tc>
          <w:tcPr>
            <w:tcW w:w="3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771,073</w:t>
            </w:r>
          </w:p>
        </w:tc>
        <w:tc>
          <w:tcPr>
            <w:tcW w:w="26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6,663</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based compensation</w:t>
            </w:r>
          </w:p>
        </w:tc>
        <w:tc>
          <w:tcPr>
            <w:tcW w:w="3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20,923,850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Other general and administrative expense</w:t>
            </w:r>
          </w:p>
        </w:tc>
        <w:tc>
          <w:tcPr>
            <w:tcW w:w="3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728,514</w:t>
            </w:r>
          </w:p>
        </w:tc>
        <w:tc>
          <w:tcPr>
            <w:tcW w:w="26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466,084</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 related parties’ loans</w:t>
            </w:r>
          </w:p>
        </w:tc>
        <w:tc>
          <w:tcPr>
            <w:tcW w:w="3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357,672</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2,559,456</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Bridge loan - related party</w:t>
            </w:r>
          </w:p>
        </w:tc>
        <w:tc>
          <w:tcPr>
            <w:tcW w:w="3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2,069,923</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(80,424)</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(240,138)</w:t>
            </w:r>
          </w:p>
        </w:tc>
        <w:tc>
          <w:tcPr>
            <w:tcW w:w="26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9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(38,006,186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(7,460,982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47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5"/>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38"/>
        </w:trPr>
        <w:tc>
          <w:tcPr>
            <w:tcW w:w="47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40" w:type="dxa"/>
            <w:vAlign w:val="bottom"/>
            <w:tcBorders>
              <w:bottom w:val="single" w:sz="8" w:color="CCEEFF"/>
            </w:tcBorders>
          </w:tcPr>
          <w:p>
            <w:pPr>
              <w:spacing w:after="0"/>
              <w:rPr>
                <w:sz w:val="19"/>
                <w:szCs w:val="19"/>
                <w:color w:val="auto"/>
              </w:rPr>
            </w:pPr>
          </w:p>
        </w:tc>
        <w:tc>
          <w:tcPr>
            <w:tcW w:w="39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9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Significant and other segment expenses:</w:t>
            </w:r>
          </w:p>
        </w:tc>
        <w:tc>
          <w:tcPr>
            <w:tcW w:w="3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NEO100</w:t>
            </w:r>
          </w:p>
        </w:tc>
        <w:tc>
          <w:tcPr>
            <w:tcW w:w="3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109,166</w:t>
            </w:r>
          </w:p>
        </w:tc>
        <w:tc>
          <w:tcPr>
            <w:tcW w:w="26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98,399</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NEO100-02</w:t>
            </w:r>
          </w:p>
        </w:tc>
        <w:tc>
          <w:tcPr>
            <w:tcW w:w="3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93,326</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96,367</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NEO212</w:t>
            </w:r>
          </w:p>
        </w:tc>
        <w:tc>
          <w:tcPr>
            <w:tcW w:w="3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279,074</w:t>
            </w:r>
          </w:p>
        </w:tc>
        <w:tc>
          <w:tcPr>
            <w:tcW w:w="26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197,962</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Pediatric</w:t>
            </w:r>
          </w:p>
        </w:tc>
        <w:tc>
          <w:tcPr>
            <w:tcW w:w="3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50,178</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1,591</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Laboratory</w:t>
            </w:r>
          </w:p>
        </w:tc>
        <w:tc>
          <w:tcPr>
            <w:tcW w:w="3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107,465</w:t>
            </w:r>
          </w:p>
        </w:tc>
        <w:tc>
          <w:tcPr>
            <w:tcW w:w="260" w:type="dxa"/>
            <w:vAlign w:val="bottom"/>
          </w:tcPr>
          <w:p>
            <w:pPr>
              <w:spacing w:after="0"/>
              <w:rPr>
                <w:sz w:val="19"/>
                <w:szCs w:val="19"/>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38,123</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39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677,332</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394,484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Advisory fee</w:t>
            </w:r>
          </w:p>
        </w:tc>
        <w:tc>
          <w:tcPr>
            <w:tcW w:w="3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and accounting</w:t>
            </w:r>
          </w:p>
        </w:tc>
        <w:tc>
          <w:tcPr>
            <w:tcW w:w="3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520,364</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590,984</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Employee Expenses</w:t>
            </w:r>
          </w:p>
        </w:tc>
        <w:tc>
          <w:tcPr>
            <w:tcW w:w="3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163,887</w:t>
            </w:r>
          </w:p>
        </w:tc>
        <w:tc>
          <w:tcPr>
            <w:tcW w:w="26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issuance and deferred offering costs amortization</w:t>
            </w:r>
          </w:p>
        </w:tc>
        <w:tc>
          <w:tcPr>
            <w:tcW w:w="3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192,249</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111,793</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Investor relations</w:t>
            </w:r>
          </w:p>
        </w:tc>
        <w:tc>
          <w:tcPr>
            <w:tcW w:w="3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226,766</w:t>
            </w:r>
          </w:p>
        </w:tc>
        <w:tc>
          <w:tcPr>
            <w:tcW w:w="26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based compensation</w:t>
            </w:r>
          </w:p>
        </w:tc>
        <w:tc>
          <w:tcPr>
            <w:tcW w:w="3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3,526,076</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Other general and administrative expense</w:t>
            </w:r>
          </w:p>
        </w:tc>
        <w:tc>
          <w:tcPr>
            <w:tcW w:w="3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593,609</w:t>
            </w:r>
          </w:p>
        </w:tc>
        <w:tc>
          <w:tcPr>
            <w:tcW w:w="26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205,860</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 related parties’ loans</w:t>
            </w:r>
          </w:p>
        </w:tc>
        <w:tc>
          <w:tcPr>
            <w:tcW w:w="3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48,750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1,171,963</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(28,725)</w:t>
            </w:r>
          </w:p>
        </w:tc>
        <w:tc>
          <w:tcPr>
            <w:tcW w:w="26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2,069,923</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(240,138)</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9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(5,680,170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(4,522,006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940" w:type="dxa"/>
            <w:vAlign w:val="bottom"/>
            <w:vMerge w:val="restart"/>
          </w:tcPr>
          <w:p>
            <w:pPr>
              <w:jc w:val="right"/>
              <w:ind w:right="287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474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9 –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ased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ompensation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12, 2023, the Company adopted the 2023 Equity Incentive Plan (the “2023 Plan”), which allows the issuance of up to 3,440,000 shares of the Company’s authorized and unissued common stock in the form of incentive stock options, non-qualified stock options, restricted stock units, performance share units, or other forms of equity as may be added in the future to employees, directors and consultants of the Company and its affiliates. The allowable number of shares that can be issued under the 2023 Plan increased upon the completion of the listing to 4,764,507 which represents 20% of the fully diluted capitalization of the Company on the closing of Company’s initial public price.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January and February 2024, 2,460,000 and 200,000, respectively, restricted stock units (“RSUs”) were granted to the executive officers and members of the Board of Directors further to the 2023 Plan as described above. Of the total RSUs granted (tranche 1) 1,686,667 vest 100% seven months from the date that the Company lists on a national exchange, (tranche 2) 486,667 will vest in equal monthly instalments over a one (1) year period commencing on the eighth month from the effective date of the listing on a national exchange and (tranche 3) 486,666 are performance-based, the vesting of which will be predicated on certain financial and operational performance metrics being met after the effective date of the listing on a national exchange as set forth the grant agreements. Since tranche 3 is performance based, it is not yet probable that all of the performance vesting conditions will be met and as such no expense has been recognized for tranche 3 as of June 30, 2025.</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October 23, 2024, 200,000 RSUs were granted to each of the CEO and the Executive Chairman, for a total of 400,000, and 100,000 granted to two members of the Board of Directors were canceled. These RSUs vest 100% seven months from the date the Company lists on a national exchange.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26, 2025, 150,000 RSUs were granted to the three board members, in the amount of 50,000 each. These RSUs vest 100% seven months from the date the Company lists on a national exchange.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March 26, 2025, the Company determined that no expense should be recognized for the RSUs since the contingency related to the commencement of vesting (i.e., the listing) of the RSUs had not been met. On March 26, 2025, the listing occurred, satisfying the contingency required for vesting to begin and defining the service period.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June 1, 2025, 300,000 RSUs were forfeited resulting in a reversal of $1,329,062 of shared based compensation during the six months ended June 30, 2025.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5, 2025, 200,000 RSUs were granted to the one board member. 66,667 RSUs vest 100% seven months from the date of issuance, 66,667 RSUs vest 100% thirty-six months from the date of issuance. The remaining 66,667 RUS’s vest thirty-six months from the date certain performance metrics are achieved.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determined the fair value of all the RSUs at their respective grant dates to be $32,495,174 based on the price of the most recent sale of common stock prior to each grant date for those RSU’s granted prior to the Listing Date or the quoted market value for the RSU’s granted after the Listing Date. For the six months ended June 30, 2025, the company recognized $20,923,850. As of June 30, 2025, there was unamortized stock-based compensation of approximately $9,171,324 which the Company expects to recognize over approximately 7 years.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The activity related to RSUs is summarized as follows:</w:t>
      </w:r>
    </w:p>
    <w:p>
      <w:pPr>
        <w:spacing w:after="0" w:line="200" w:lineRule="exact"/>
        <w:rPr>
          <w:sz w:val="20"/>
          <w:szCs w:val="20"/>
          <w:color w:val="auto"/>
        </w:rPr>
      </w:pPr>
    </w:p>
    <w:p>
      <w:pPr>
        <w:spacing w:after="0" w:line="23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9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RSUs</w:t>
            </w:r>
          </w:p>
        </w:tc>
        <w:tc>
          <w:tcPr>
            <w:tcW w:w="100" w:type="dxa"/>
            <w:vAlign w:val="bottom"/>
          </w:tcPr>
          <w:p>
            <w:pPr>
              <w:spacing w:after="0"/>
              <w:rPr>
                <w:sz w:val="16"/>
                <w:szCs w:val="16"/>
                <w:color w:val="auto"/>
              </w:rPr>
            </w:pPr>
          </w:p>
        </w:tc>
      </w:tr>
      <w:tr>
        <w:trPr>
          <w:trHeight w:val="238"/>
        </w:trPr>
        <w:tc>
          <w:tcPr>
            <w:tcW w:w="10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Activity</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Granted</w:t>
            </w:r>
          </w:p>
        </w:tc>
      </w:tr>
      <w:tr>
        <w:trPr>
          <w:trHeight w:val="209"/>
        </w:trPr>
        <w:tc>
          <w:tcPr>
            <w:tcW w:w="9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1, 2024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3,060,000</w:t>
            </w:r>
          </w:p>
        </w:tc>
      </w:tr>
      <w:tr>
        <w:trPr>
          <w:trHeight w:val="216"/>
        </w:trPr>
        <w:tc>
          <w:tcPr>
            <w:tcW w:w="10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Cancelled</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(100,000)</w:t>
            </w:r>
          </w:p>
        </w:tc>
      </w:tr>
      <w:tr>
        <w:trPr>
          <w:trHeight w:val="209"/>
        </w:trPr>
        <w:tc>
          <w:tcPr>
            <w:tcW w:w="100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8"/>
        </w:trPr>
        <w:tc>
          <w:tcPr>
            <w:tcW w:w="9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Granted during six months ended June 30, 2025</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Forfeited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Released RSUs for six months ended June 30, 2025</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June 30, 2025, an aggregate of 3,010,000 RSU’s were granted, and 1,754,500 RSU’s remain unissued in the 2023 Plan.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10 – C</w:t>
      </w:r>
      <w:r>
        <w:rPr>
          <w:rFonts w:ascii="Times New Roman" w:cs="Times New Roman" w:eastAsia="Times New Roman" w:hAnsi="Times New Roman"/>
          <w:sz w:val="12"/>
          <w:szCs w:val="12"/>
          <w:b w:val="1"/>
          <w:bCs w:val="1"/>
          <w:color w:val="auto"/>
        </w:rPr>
        <w:t>ommitments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Line of Credit Commitment – Related Party</w:t>
      </w:r>
    </w:p>
    <w:p>
      <w:pPr>
        <w:spacing w:after="0" w:line="20" w:lineRule="exact"/>
        <w:rPr>
          <w:sz w:val="20"/>
          <w:szCs w:val="20"/>
          <w:color w:val="auto"/>
        </w:rPr>
      </w:pPr>
      <w:r>
        <w:rPr>
          <w:sz w:val="20"/>
          <w:szCs w:val="20"/>
          <w:color w:val="auto"/>
        </w:rPr>
        <w:br w:type="column"/>
      </w:r>
    </w:p>
    <w:p>
      <w:pPr>
        <w:ind w:left="120"/>
        <w:spacing w:after="0"/>
        <w:rPr>
          <w:sz w:val="20"/>
          <w:szCs w:val="20"/>
          <w:color w:val="auto"/>
        </w:rPr>
      </w:pPr>
      <w:r>
        <w:rPr>
          <w:rFonts w:ascii="Times New Roman" w:cs="Times New Roman" w:eastAsia="Times New Roman" w:hAnsi="Times New Roman"/>
          <w:sz w:val="18"/>
          <w:szCs w:val="18"/>
          <w:color w:val="auto"/>
        </w:rPr>
        <w:t>350,000</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22860</wp:posOffset>
            </wp:positionV>
            <wp:extent cx="70294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38"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3,010,000</w:t>
      </w:r>
    </w:p>
    <w:p>
      <w:pPr>
        <w:spacing w:after="0" w:line="5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17145</wp:posOffset>
            </wp:positionV>
            <wp:extent cx="70294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2945" cy="8255"/>
                    </a:xfrm>
                    <a:prstGeom prst="rect">
                      <a:avLst/>
                    </a:prstGeom>
                    <a:noFill/>
                  </pic:spPr>
                </pic:pic>
              </a:graphicData>
            </a:graphic>
          </wp:anchor>
        </w:drawing>
        <w:drawing>
          <wp:anchor simplePos="0" relativeHeight="251657728" behindDoc="1" locked="0" layoutInCell="0" allowOverlap="1">
            <wp:simplePos x="0" y="0"/>
            <wp:positionH relativeFrom="column">
              <wp:posOffset>-250190</wp:posOffset>
            </wp:positionH>
            <wp:positionV relativeFrom="paragraph">
              <wp:posOffset>34290</wp:posOffset>
            </wp:positionV>
            <wp:extent cx="70294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2945" cy="8255"/>
                    </a:xfrm>
                    <a:prstGeom prst="rect">
                      <a:avLst/>
                    </a:prstGeom>
                    <a:noFill/>
                  </pic:spPr>
                </pic:pic>
              </a:graphicData>
            </a:graphic>
          </wp:anchor>
        </w:drawing>
        <w:drawing>
          <wp:anchor simplePos="0" relativeHeight="251657728" behindDoc="1" locked="0" layoutInCell="0" allowOverlap="1">
            <wp:simplePos x="0" y="0"/>
            <wp:positionH relativeFrom="column">
              <wp:posOffset>-250190</wp:posOffset>
            </wp:positionH>
            <wp:positionV relativeFrom="paragraph">
              <wp:posOffset>-127635</wp:posOffset>
            </wp:positionV>
            <wp:extent cx="7029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1532" w:lineRule="exact"/>
        <w:rPr>
          <w:sz w:val="20"/>
          <w:szCs w:val="20"/>
          <w:color w:val="auto"/>
        </w:rPr>
      </w:pPr>
    </w:p>
    <w:p>
      <w:pPr>
        <w:sectPr>
          <w:pgSz w:w="11900" w:h="16838" w:orient="portrait"/>
          <w:cols w:equalWidth="0" w:num="2">
            <w:col w:w="9700" w:space="720"/>
            <w:col w:w="820"/>
          </w:cols>
          <w:pgMar w:left="320" w:top="796" w:right="339" w:bottom="1440" w:gutter="0" w:footer="0" w:header="0"/>
          <w:type w:val="continuous"/>
        </w:sectPr>
      </w:pP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11, 2024, the Company entered into a Line of Credit Agreement (“the Agreement”) with HCWG for borrowings of up to $10.0 million. Borrowings under the Line of Credit Agreement bear interest at 10.0% per annum and increases to 14% if the Agreement is extended. Interest payments are due on the first business day of each calendar month and the unpaid principal is due on October 12, 2027. No amounts have been borrowed under the facility through June 30, 2025.</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agreement, the Company issued HCWG five-year warrants to purchase up to 312,500 shares of our common stock at an exercise price of $12.00 per share. These warrants expire on October 23, 2029. As of December 31, 2024, there were 312,500 warrants issued, outstanding and fully vested. In March 2025, 162,500 warrants were exercised in a cashless exercise, resulting in the issuance of 162,500 shares of common stock. At June 30, 2025, there are 150,000 shares of common stock remaining available to be purchased under the warrant.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warrants on the grant date was determined using the Black-Scholes valuation model, with the following key assumptions:</w:t>
      </w:r>
    </w:p>
    <w:p>
      <w:pPr>
        <w:spacing w:after="0" w:line="225"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common stock: $12.00</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86%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4.82%</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2.5 years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warrants at inception was $2,015,413, which was recorded as additional paid-in capital on the condensed consolidated statement of changes stockholders’ deficit for the year ended December 31, 2024, and as debt issuance costs on the balance sheet. The debt issuance costs are being amortized over the term of the line of credit and amounted to $167,951 and $335,903 for the three and six months ended June 30, 2025. At June 30, 2025 and December 31, 2024, unamortized debt issuance costs total $1,534,413 and $1,870,316, respectively, which will be amortized over the remaining 19 months of the facility.</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the Company is involved in various disputes, claims, liens and litigation matters arising out of the normal course of business which could result in a material adverse effect on the Company’s combined financial position, results of operations or cash flows. Liabilities for loss contingencies arising from claims, assessments, litigation, fines and penalties and other sources are recorded when it is probable that a liability has been incurred, and the amount of the assessment can be reasonably estimated. As of June 30, 2025 and December 31, 2024, the Company had no liabilities recorded for loss contingencies, except as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 - Orient EuroPharma Co., Ltd.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November 8, 2013, the Company entered into a collaboration agreement (“Agreement”) with Orient EuroPharma Co., Ltd. (“OEP”), pursuant to which the parties will develop certain licensed products defined in the Agreement. NeOnc will license OEP the right to commercialize the Company’s drug NEO100, a highly purified form of </w:t>
      </w:r>
      <w:r>
        <w:rPr>
          <w:rFonts w:ascii="Times New Roman" w:cs="Times New Roman" w:eastAsia="Times New Roman" w:hAnsi="Times New Roman"/>
          <w:sz w:val="18"/>
          <w:szCs w:val="18"/>
          <w:i w:val="1"/>
          <w:iCs w:val="1"/>
          <w:color w:val="auto"/>
        </w:rPr>
        <w:t>perillyl alcoho</w:t>
      </w:r>
      <w:r>
        <w:rPr>
          <w:rFonts w:ascii="Times New Roman" w:cs="Times New Roman" w:eastAsia="Times New Roman" w:hAnsi="Times New Roman"/>
          <w:sz w:val="18"/>
          <w:szCs w:val="18"/>
          <w:color w:val="auto"/>
        </w:rPr>
        <w:t>l (“Licensed Product”), in the territories specified in the license agreement (“Territory”).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2023, the Company sent notice to OEP indicating their intent to terminate the Agreement with OEP, after which OEP threatened litigation. On February 15, 2024, OEP and the Company entered into a settlement agreement whereas the Company and OEP terminated the Agreement in exchange for a payment in the amount of $4,000,000 payable by the Company to OEP within ten days of the date the Company completes its initial public offering. The Company has a litigation settlement payable of $4,000,000 in the accompanying condensed consolidated balance sheets as of June 30, 2025 and December 31, 2024, respectively. As of the date of this filing, the Company has not paid the litigation settlement amount.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6, 2023, a vendor filed a complaint against the Company for breach of contract in the Central District of California. The vendor alleged that the Company improperly terminated an Intellectual Property License and Supply Agreement (“IPLSA”) and that the Company also defrauded the vendor in connection with IPLSA. This matter was settled on October 16, 2023, and the Company agreed to pay the vendor $600,000 within 5 business days of the close of the date that the Company completes an IPO or March 31, 2024, whichever occurs first. The Company has a litigation settlement payable in the accompanying condensed consolidated balance sheet at June 30, 2025 and December 31, 2024. As of the date of this filing, the Company has not paid the litigation settlement amount.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31, 2024, a vendor agreed to extend the payment until May 15, 2024 for payment of an additional $25,000, payable on demand. On July 25, 2024, the arbitrator granted the implementation of interest at the statutory rate on the unpaid balance commencing May 15, 2024 until paid, therefore an additional $48,750 and $56,250 of interest expense is recognized in the accompanying condensed consolidated statement of operations during the three and six months ended June 30, 2025, respectively.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June 30, 2025 and December 31, 2024, $97,500 and $41,250 of accrued interest is included in litigation settlement payable in the accompanying condensed consolidated balance sheet.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11 – S</w:t>
      </w:r>
      <w:r>
        <w:rPr>
          <w:rFonts w:ascii="Times New Roman" w:cs="Times New Roman" w:eastAsia="Times New Roman" w:hAnsi="Times New Roman"/>
          <w:sz w:val="12"/>
          <w:szCs w:val="12"/>
          <w:b w:val="1"/>
          <w:bCs w:val="1"/>
          <w:color w:val="auto"/>
        </w:rPr>
        <w:t>ubsequent</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debt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July 2025, the Company entered into a series of convertible promissory notes with a group of investors for the aggregate purchase price of $4 million. The notes are payable three months after purchase for a total amount of $5 million (20% OID). The Company may extend the payment date for up to three additional one-month periods with the OID on the Notes increasing to 25%, 30% and 35% with respect to any such monthly extensions. Further, upon the occurrence of an Event of Default, as that term is defined in the Notes, the Notes shall be convertible into shares of the Common stock of the Company at a price equal to 80% of the lowest closing sale price of the Company’s common stock as reported on the Nasdaq Global Market on any trading day during the five (5) trading days prior to the respective conversion date. As of August 13, 2025, the Company has received the full proceeds from the issuance of $4,000,000 of such promissory notes.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Investment and Joint Venture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June 2025, the Company (through a soon to be formed entity – Nuromena Holdings Ltd. “NuroMena”) entered into a letter of intent to form an investment and joint venture agreement with a Middle-East investor (“Investor”), names Quazar Investments. At the formation date, the Company would own 10 million shares of NuroMena and contribute a license to its technology to NuroMena, and the Investor will purchase 2.5 million shares of NuroMena for a subscription price of $400,000 (“Initial Investment”). Following the formation of the entity and closing of the Initial Investment, the Investor shall source one or more future investors to purchase up to $50.0 million at $25/share in common stock of the Company, of which 70% of the proceeds will be maintained by the Company and 30% will be transferred to an operating entity to be formed under NuroMena, to conduct clinical trials in the middle-east markets. As of August 13, 2025, the entity has not yet been formed, and therefore the Initial Investment has not yet occurred.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2025, the Company satisfied a key milestone in connection with the anticipated closing of its previously announced strategic transaction with Quazar Investment. Specifically, the Company executed and transferred a Sub-License Agreement from NeOnc Technologies Holdings, Inc. to its Abu Dhabi onshore operating subsidiary, NuroCure. The Sub-License grants rights within the United Arab Emirates and the broader GCC and MENA regions for NEO100 and NEO212 pursuant to the Company’s existing license from the USC Stevens Center for Innovation.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8, 2025, the Company announced that it had entered into a non-binding term sheet with Quazar Investment for a proposed $50 million equity investment and regional expansion into the MENA markets. The Sub-License Agreement constituted the second of five conditions precedent to closing the transaction. Subsequent to execution of the Sub-License, the Company satisfied all remaining conditions precedent to closing, including:</w:t>
      </w:r>
    </w:p>
    <w:p>
      <w:pPr>
        <w:spacing w:after="0" w:line="176"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Finalization of definitive offering documents, including subscription agreements and a shareholder agreement;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 comprehensive two-year business plan and budget, setting forth operational and clinical development milestones;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formation of NuroMENA Holdings Ltd., incorporated under the Abu Dhabi Global Market framework.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completion of these steps fulfills all the required conditions for closing and positions the Company to consummate the Quazar Investment transaction.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Binding Letter of Intent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24, 2025, the Company entered into a binding Letter of Intent (“LOI”) with Dr. Ishwar K. Puri and Beth R. Levinson, setting forth the principal terms for the acquisition by NeOnc of all equity interests in a to-be-formed limited liability company (the “Target Company”). The Target Company was subsequently organized as JandB Holdings LLC, a California limited liability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terms of the binding LOI, the transaction consideration includes:</w:t>
      </w:r>
    </w:p>
    <w:p>
      <w:pPr>
        <w:spacing w:after="0" w:line="22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payment of $500,000 to McMaster University on or before October 31, 2025;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million, less expenses, payable in shares of the Company’s common stock valued at $25.00 per share, to JandB Holdings LLC.</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believes this acquisition represents a strong strategic fit and supports its long-term growth initiatives. The closing of the transaction is subject to the negotiation and execution of definitive agreements, including a Share Exchange Agreement and related documentation, to be prepared by the Company’s legal counsel and reviewed by the Target Company’s legal counsel.</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thereto included elsewhere in this Quarterly Report on Form 10-Q. In addition to historical information, this discussion and analysis contains forward-looking statements that involve risks, uncertainties and assumptions. Our actual results may differ materially from these forward-looking statements as a result of certain factors. For a complete discussion of such risk factors, see the section entitled “Risk Factors”. Capitalized terms used herein, but not otherwise defined, shall have the meaning ascribed to those terms in the “Part I - Financial Information,” including the related notes to the consolidated financial statements contained therein.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company (f/k/a NAS-ONC, Inc.) was formed in 2008, devoted to developing new drugs with new delivery modes. As a clinical-stage biopharmaceutical company, we have focused on establishing superior treatments for intracranial malignancies, i.e., aggressive cancers located in the brain. These cancer types include primary brain cancers, such as glioblastoma, and secondary brain cancers, that have arrived through metastatic spread from other cancers throughout the body, such as melanoma or breast and lung cancer. Brain-localized malignancies are particularly difficult to treat because the blood-brain barrier prevents efficient entry of most pharmacotherapeutic agents into the brain. As a result, these patients are faced with poor prognoses and shortened average life expectancy. NeOnc is developing novel drug delivery methods to be used in combination with novel drug candidates.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NeOnc’s lead product candidate is NEO100. NEO100 is administered to patients via intranasal delivery. We have completed human safety testing in a Phase 1 clinical trial and are currently conducting preliminary efficacy testing in a Phase 2a trial with recurrent malignant glioma (Grade IV IDH1 mutant and Grade III Astrocytoma IDH1 mutant) patients. NeOnc is also developing a second product candidate, NEO212, which has completed preclinical testing, and an investigational new drug (IND) application has been filed and accepted with the United States Food and Drug Administration (FDA). The company has started Phase 1 clinical trials with patients harbouring primary and secondary malignant brain cancer types. Several additional drug candidates are in the pipeline and are undergoing preclinical development.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Since inception, our operations have focused on organizing and staffing our company, business planning, raising capital, acquiring and developing our technology, establishing our intellectual property portfolio, identifying potential product candidates and undertaking preclinical and clinical studies and manufacturing. We do not have any products approved for sale and have not generated any revenue from product sales other than for humanitarian usage.</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October 11, 2024, the Company entered into an agreement with a broker dealer to serve as placement agent and provide broker services in connection with the proposed sale of common stock up to $10,000,000. Under this agreement, through December 31, 2024, the Company closed on commitments from investors to purchase 625,000 shares of common stock of the Company at $16 per share for total commitments of $10,000,000, which were to be held in escrow until the Company’s registration statement was declared effective. During the three months ended March 31, 2025, prior to the Company having an effective registration statement, the Company closed on an additional commitment to purchase 102,750 shares of common stock of the Company at $16 per share, for total commitments of $1,644,000, On March 10, 2025, the Company’s registration statement was declared effective at which time the $11,644,000 in escrow was released to the Company. On March 26, the Company was listed (“Listing”) on the NASDAQ global markets.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restated the previously issued unaudited consolidated financial statements as of and for the quarter ended March 31, 2025 (the “Restatement”). The Restatement corrects an overstatement of share based compensation due to an incorrect vesting period. The correction reduced the share based compensation expense from $23,073,745 to $17,397,774 and the corresponding net loss from $38,002,012 to $32,326,016 for the quarter ended March 31, 2025.</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Investment and Joint Venture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June 2025, the Company (through a soon to be formed entity – Nuromena Holdings Ltd. “NuroMena”) entered into a letter of intent to form an investment and joint venture agreement with a Middle-East investor (“Investor”), Quazar Investments. At the formation date, the Company would own 10 million shares of NuroMena and contribute a license to its technology to NuroMena, and the Investor will purchase 2.5 million shares of NuroMena for a subscription price of $400,000 (“Initial Investment”). Following the formation of the entity and closing of the Initial Investment, the Investor shall source one or more future investors to purchase up to $50.0 million at $25/share in common stock of the Company, of which 70% of the proceeds will be maintained by the Company and 30% will be transferred to an operating entity to be formed under NuroMena, to conduct clinical trials in the middle-east markets. As of August 13, 2025, the entity has not yet been formed, and therefore the Initial Investment has not yet occurred.</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Since its inception, we have incurred significant operating losses. Our net loss was $5,680,170 and $4,522,006, for the three months ended June 30, 2025 and 2024, respectively, and $38,006,186 and $7,460,982 for the six months ended June 30, 2025 and 2024, respectively. We had an accumulated deficit of $88,614,631 at June 30, 2025. We expect to continue to incur significant and increasing expenses and operating losses for the foreseeable future, as we advance our current and future product candidates through preclinical and clinical development, manufacture drug product and drug supply, seek regulatory approval for our current and future product candidates, maintain and expand our intellectual property portfolio, hire additional research and development and business personnel and operate as a public company.</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not generate revenue from product sales unless and until we successfully complete clinical development and obtain regulatory approval for our product candidates. In addition, if we obtain regulatory approval for our product candidates and do not enter a third-party commercialization partnership, we expect to incur significant expenses related to developing our commercialization capability to support product sales, marketing, manufacturing, and distribution activities.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result, we will need substantial additional funding to support our continuing operations and pursue our growth strategy. Until we can generate significant revenue from product sales, if ever, we expect to finance our operations through a combination of public or private equity offerings and debt financings or other sources, such as potential collaboration agreements, strategic alliances and licensing arrangements. We may be unable to raise additional funds or enter into such other agreements or arrangements when needed on acceptable terms, or at all. Our failure to raise capital or enter into such agreements as, and when needed, could have a material adverse effect on our business, results of operations and financial condition.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report of our independent registered public accounting firm on our financial statements as of and for the year ended December 31, 2024 included an explanatory paragraph indicating that there was substantial doubt about our ability to continue as a going concern. See Note 1 to our financial statements for additional information on our assessment.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occasionally receive a fee from a patient for a “right to try” humanitarian program. Such revenues are not part of our core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operating expenses consist of (i) research and development expenses and (ii) legal and professional expenses and (iii) general and administrative expenses.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5" w:name="page26"/>
    <w:bookmarkEnd w:id="25"/>
    <w:p>
      <w:pPr>
        <w:ind w:left="6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research and development activities, including our product candidate discovery efforts and preclinical and clinical studies under our research programs, which include:</w:t>
      </w:r>
    </w:p>
    <w:p>
      <w:pPr>
        <w:spacing w:after="0" w:line="162"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and stock-based compensation expense for our research and development personnel;</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funding research performed by third parties that conduct research and development and preclinical and clinical activities on our behalf;</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manufacturing drug products and drug supply related to our current or future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conducting preclinical studies and clinical trials of our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and professional fees related to research and development activities, including equity-based compensation to non-employees;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maintaining our laboratory, including purchasing laboratory supplies and non-capital equipment used in our preclinical studies;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clinical regulatory requirements;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costs and other allocated expenses, which include expenses for rent and maintenance of facilities, insurance, depreciation and other supplies.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as incurred. Costs for certain activities are recognized based on an evaluation of the progress to completion of specific tasks using data such as information provided to us by our vendors and analyzing the progress of our preclinical and clinical studies or other services performed.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We cannot reasonably estimate or know the nature, timing, and estimated costs of the efforts that will be necessary to complete development of our current or future product candidates. We are also unable to predict when, if ever, material net cash inflows will commence from the sale of our product candidates, if they are approved. This is due to the numerous risks and uncertainties associated with developing product candidates, including the uncertainty of:</w:t>
      </w:r>
    </w:p>
    <w:p>
      <w:pPr>
        <w:spacing w:after="0" w:line="180" w:lineRule="exact"/>
        <w:rPr>
          <w:sz w:val="20"/>
          <w:szCs w:val="20"/>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expenses of our ongoing research activities as well as any preclinical studies and clinical trials and other research and development activities;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profile;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product candidates show safety and efficacy in our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product candidates, if and when approved, whether alone or in collaboration with others;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acceptable safety of the products following any regulatory approval.</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26" w:name="page27"/>
    <w:bookmarkEnd w:id="26"/>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our current and future product candidates would significantly change the costs and timing associated with the development of those product candidates.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research and development costs to increase significantly for the foreseeable future as we commence clinical trials and continue the development of our current and future product candidates. However, we do not believe that it is possible at this time to accurately project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 Additionally, future commercial and regulatory factors beyond our control will impact our clinical development programs and plans.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Legal and Professional Expenses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Legal and professional expenses consist of costs related to corporate and intellectual property legal costs and accounting and auditing fees. We also anticipate increased expenses associated with being a public company, including costs for audit, legal, regulatory and tax-related services related to compliance with the rules and regulations of the Securities and Exchange Commission, or the SEC, and listing standards applicable to companies listed on a national securities exchange, director and officer insurance premiums, and investor relations costs.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include salaries and other compensation-related costs, including stock-based compensation, for personnel in executive, finance and accounting, business development, operations and administrative roles. Other significant costs include insurance costs, travel costs, facility and office-related costs not included in research and development expenses.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as our business expands to support expected growth in research and development activities, including our future clinical programs. These increases will likely include increased costs related to the hiring of additional personnel and fees to outside service providers, among other expenses. In addition, if we obtain regulatory approval for any of our product candidates and do not enter a third-party commercialization collaboration, we expect to incur significant expenses related to building a sales and marketing team to support product sales, marketing and distribution activities.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Share Based Compensation</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Share based compensation expense result from the recognition of the fair value of restricted stock units (RSU) recorded on a straight-line basis from the date of grant to the date the RSU becomes fully vested.</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expense primarily results from the bridge loan and a short-term loan both from related parties. Borrowings under these loans carry a 50% (or 1 times amounts borrowed) original issue discount (“OID”) on principal. The OID to be earned under the bridge loan is recognized ratably over the term of each draw-down under the loan through the maturity date.</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Amortization</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Amortization on debt issuance costs resulted from the grant of warrants for a line of credit commitment. The fair value of the warrants was determined using the Black Scholes valuation method and the fair value is being amortized over the term of the line of credit commitment.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Amortization on deferred offering costs resulted from the issuance of common stock in connection with a private equity agreement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six months ended June 30, 2025 and 2024:</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presented:</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7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center"/>
              <w:ind w:right="341"/>
              <w:spacing w:after="0"/>
              <w:rPr>
                <w:sz w:val="20"/>
                <w:szCs w:val="20"/>
                <w:color w:val="auto"/>
              </w:rPr>
            </w:pPr>
            <w:r>
              <w:rPr>
                <w:rFonts w:ascii="Times New Roman" w:cs="Times New Roman" w:eastAsia="Times New Roman" w:hAnsi="Times New Roman"/>
                <w:sz w:val="18"/>
                <w:szCs w:val="18"/>
                <w:b w:val="1"/>
                <w:bCs w:val="1"/>
                <w:color w:val="auto"/>
              </w:rPr>
              <w:t>For the</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gridSpan w:val="6"/>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361"/>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Borders>
              <w:bottom w:val="single" w:sz="8" w:color="CCEEFF"/>
            </w:tcBorders>
          </w:tcPr>
          <w:p>
            <w:pPr>
              <w:spacing w:after="0"/>
              <w:rPr>
                <w:sz w:val="19"/>
                <w:szCs w:val="19"/>
                <w:color w:val="auto"/>
              </w:rPr>
            </w:pPr>
          </w:p>
        </w:tc>
      </w:tr>
      <w:tr>
        <w:trPr>
          <w:trHeight w:val="20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(20,000)</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677,332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394,484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282,848</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Legal and professional</w:t>
            </w:r>
          </w:p>
        </w:tc>
        <w:tc>
          <w:tcPr>
            <w:tcW w:w="220" w:type="dxa"/>
            <w:vAlign w:val="bottom"/>
          </w:tcPr>
          <w:p>
            <w:pPr>
              <w:spacing w:after="0"/>
              <w:rPr>
                <w:sz w:val="18"/>
                <w:szCs w:val="18"/>
                <w:color w:val="auto"/>
              </w:rPr>
            </w:pPr>
          </w:p>
        </w:tc>
        <w:tc>
          <w:tcPr>
            <w:tcW w:w="11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520,364</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590,984</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(70,620)</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984,262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289,652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694,610</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based compensation</w:t>
            </w:r>
          </w:p>
        </w:tc>
        <w:tc>
          <w:tcPr>
            <w:tcW w:w="220" w:type="dxa"/>
            <w:vAlign w:val="bottom"/>
          </w:tcPr>
          <w:p>
            <w:pPr>
              <w:spacing w:after="0"/>
              <w:rPr>
                <w:sz w:val="18"/>
                <w:szCs w:val="18"/>
                <w:color w:val="auto"/>
              </w:rPr>
            </w:pPr>
          </w:p>
        </w:tc>
        <w:tc>
          <w:tcPr>
            <w:tcW w:w="11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3,526,076</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3,526,076</w:t>
            </w:r>
          </w:p>
        </w:tc>
      </w:tr>
      <w:tr>
        <w:trPr>
          <w:trHeight w:val="22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License expense</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25,000</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(25,000)</w:t>
            </w:r>
          </w:p>
        </w:tc>
      </w:tr>
      <w:tr>
        <w:trPr>
          <w:trHeight w:val="209"/>
        </w:trPr>
        <w:tc>
          <w:tcPr>
            <w:tcW w:w="73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5,708,034</w:t>
            </w:r>
          </w:p>
        </w:tc>
        <w:tc>
          <w:tcPr>
            <w:tcW w:w="2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1,300,120</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4,407,914</w:t>
            </w:r>
          </w:p>
        </w:tc>
        <w:tc>
          <w:tcPr>
            <w:tcW w:w="100" w:type="dxa"/>
            <w:vAlign w:val="bottom"/>
            <w:tcBorders>
              <w:bottom w:val="single" w:sz="8" w:color="CCEEFF"/>
            </w:tcBorders>
          </w:tcPr>
          <w:p>
            <w:pPr>
              <w:spacing w:after="0"/>
              <w:rPr>
                <w:sz w:val="18"/>
                <w:szCs w:val="18"/>
                <w:color w:val="auto"/>
              </w:rPr>
            </w:pPr>
          </w:p>
        </w:tc>
      </w:tr>
      <w:tr>
        <w:trPr>
          <w:trHeight w:val="210"/>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(5,708,034)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(1,280,120)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(4,427,914)</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18"/>
                <w:szCs w:val="18"/>
                <w:color w:val="auto"/>
              </w:rPr>
            </w:pPr>
          </w:p>
        </w:tc>
        <w:tc>
          <w:tcPr>
            <w:tcW w:w="11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28,725</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28,725</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on debt issuance and deferred offering costs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(192,249)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(192,249)</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Pr>
          <w:p>
            <w:pPr>
              <w:spacing w:after="0"/>
              <w:rPr>
                <w:sz w:val="18"/>
                <w:szCs w:val="18"/>
                <w:color w:val="auto"/>
              </w:rPr>
            </w:pPr>
          </w:p>
        </w:tc>
        <w:tc>
          <w:tcPr>
            <w:tcW w:w="11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240,138</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240,138</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 related parties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(48,750)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(1,171,963)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1,123,213</w:t>
            </w:r>
          </w:p>
        </w:tc>
      </w:tr>
      <w:tr>
        <w:trPr>
          <w:trHeight w:val="230"/>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extinguishment of Bridge loan - related party</w:t>
            </w:r>
          </w:p>
        </w:tc>
        <w:tc>
          <w:tcPr>
            <w:tcW w:w="220" w:type="dxa"/>
            <w:vAlign w:val="bottom"/>
          </w:tcPr>
          <w:p>
            <w:pPr>
              <w:spacing w:after="0"/>
              <w:rPr>
                <w:sz w:val="19"/>
                <w:szCs w:val="19"/>
                <w:color w:val="auto"/>
              </w:rPr>
            </w:pPr>
          </w:p>
        </w:tc>
        <w:tc>
          <w:tcPr>
            <w:tcW w:w="11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(2,069,923)</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2,069,923</w:t>
            </w:r>
          </w:p>
        </w:tc>
      </w:tr>
      <w:tr>
        <w:trPr>
          <w:trHeight w:val="223"/>
        </w:trPr>
        <w:tc>
          <w:tcPr>
            <w:tcW w:w="73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(5,680,170</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(4,522,006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1,158,164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was generated for fees for a “right to try” humanitarian program during 2025 and 2024.</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components of our research and development expenses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38"/>
        </w:trPr>
        <w:tc>
          <w:tcPr>
            <w:tcW w:w="44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CCEEFF"/>
            </w:tcBorders>
          </w:tcPr>
          <w:p>
            <w:pPr>
              <w:spacing w:after="0"/>
              <w:rPr>
                <w:sz w:val="19"/>
                <w:szCs w:val="19"/>
                <w:color w:val="auto"/>
              </w:rPr>
            </w:pPr>
          </w:p>
        </w:tc>
        <w:tc>
          <w:tcPr>
            <w:tcW w:w="28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 by project:</w:t>
            </w:r>
          </w:p>
        </w:tc>
        <w:tc>
          <w:tcPr>
            <w:tcW w:w="2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NEO100-01</w:t>
            </w: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109,166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98,399</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NEO100-02</w:t>
            </w:r>
          </w:p>
        </w:tc>
        <w:tc>
          <w:tcPr>
            <w:tcW w:w="2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93,326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96,367</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NEO212</w:t>
            </w: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279,074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197,962</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Pediatric</w:t>
            </w:r>
          </w:p>
        </w:tc>
        <w:tc>
          <w:tcPr>
            <w:tcW w:w="2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50,178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1,591</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Laboratory</w:t>
            </w: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107,465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38,123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677,332</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394,484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44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For the</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gridSpan w:val="7"/>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4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CCEEFF"/>
            </w:tcBorders>
          </w:tcPr>
          <w:p>
            <w:pPr>
              <w:spacing w:after="0"/>
              <w:rPr>
                <w:sz w:val="19"/>
                <w:szCs w:val="19"/>
                <w:color w:val="auto"/>
              </w:rPr>
            </w:pPr>
          </w:p>
        </w:tc>
        <w:tc>
          <w:tcPr>
            <w:tcW w:w="28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Clinical trial expense</w:t>
            </w:r>
          </w:p>
        </w:tc>
        <w:tc>
          <w:tcPr>
            <w:tcW w:w="28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531,744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394,319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laboratory</w:t>
            </w:r>
          </w:p>
        </w:tc>
        <w:tc>
          <w:tcPr>
            <w:tcW w:w="2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145,588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145,423</w:t>
            </w:r>
          </w:p>
        </w:tc>
        <w:tc>
          <w:tcPr>
            <w:tcW w:w="0" w:type="dxa"/>
            <w:vAlign w:val="bottom"/>
          </w:tcPr>
          <w:p>
            <w:pPr>
              <w:spacing w:after="0"/>
              <w:rPr>
                <w:sz w:val="1"/>
                <w:szCs w:val="1"/>
                <w:color w:val="auto"/>
              </w:rPr>
            </w:pPr>
          </w:p>
        </w:tc>
      </w:tr>
      <w:tr>
        <w:trPr>
          <w:trHeight w:val="223"/>
        </w:trPr>
        <w:tc>
          <w:tcPr>
            <w:tcW w:w="4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28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677,332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394,484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860" w:type="dxa"/>
            <w:vAlign w:val="bottom"/>
            <w:vMerge w:val="restart"/>
          </w:tcPr>
          <w:p>
            <w:pPr>
              <w:jc w:val="right"/>
              <w:ind w:right="1510"/>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44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28" w:name="page29"/>
    <w:bookmarkEnd w:id="2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$677,332 and $394,484 for the three months ended June 30, 2025 and 2024, respectively. A portion of these expenses amounting to approximately $145,588 and $165 for the three months ended June 30, 2025 and 2024, respectively, are from the University of Southern California (USC), where Dr. Chen is a member of the faculty. The total increase of $282,848 was primarily due to:</w:t>
      </w:r>
    </w:p>
    <w:p>
      <w:pPr>
        <w:spacing w:after="0" w:line="176"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of clinical trial sites for NEO100’s clinical trial.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for NEO212.</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start of the clinical trial for NEO100-03for a Pediatric Indication.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patient recruitment efforts.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Legal and Professional Expenses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Legal and professional expenses were $520,364 and $590,984 for the three months ended June 30, 2025 and 2024, respectively. The decrease of $70,820 was primarily due to the completion of the direct listing process which occurred in the first quarter of 2025.</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$984,262 and $289,652 for the three months ended June 30, 2025 and 2024, respectively. The increase of $694,610 was primary due to a marketing campaign, rent and travel expenses and expense incurred in pursuit of the Middle East deal for which a letter of intent was executed subsequent to June 30, 2025.</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Share Based Compensation</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Share based compensation resulted from the granting of RSUs and is the recognition of the expense from the grant date (which included a catch up period from the original date of issuance of the RSU’s through the Listing Date, due to the removal of the contingency which occurred on the Listing Date) during the three months June 30, 2025.</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expense was $48,750 and $1,171,963 for the three months ended June 30, 2025 and 2024, respectively. The interest for the three months ended June 30, 2025 relates primarily to the accrued interest for a litigation matter. The OID interest for the three months ended June 30, 2024 relates to the OID for the related party bridge loan that was converted into common stock in June of 2024.</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Interest income was $28,725 and $0 for the three months ended June 30, 2025 and 2024, respectively. The interest income for the three months ended June 30, 2025, relates primarily interest earned on the money market account.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Loss on Extinguishment of Bridge Loan – related part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Loss on Extinguishment of Bridge Loan – related party was $0 and $2,069,923 for the three months ended June 30, 2025 and 2024,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loss is related to the loan being converted into common stock in June 2024.</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9" w:name="page30"/>
    <w:bookmarkEnd w:id="29"/>
    <w:p>
      <w:pPr>
        <w:ind w:left="660"/>
        <w:spacing w:after="0"/>
        <w:rPr>
          <w:sz w:val="20"/>
          <w:szCs w:val="20"/>
          <w:color w:val="auto"/>
        </w:rPr>
      </w:pPr>
      <w:r>
        <w:rPr>
          <w:rFonts w:ascii="Times New Roman" w:cs="Times New Roman" w:eastAsia="Times New Roman" w:hAnsi="Times New Roman"/>
          <w:sz w:val="18"/>
          <w:szCs w:val="18"/>
          <w:i w:val="1"/>
          <w:iCs w:val="1"/>
          <w:color w:val="auto"/>
        </w:rPr>
        <w:t>Amortization of Debt Issuance and Deferred Offering Costs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amortization of debt issuance costs was approximately $192,000 and $0 for the three months ended June 30, 2025 and 2024, respectively. This represents the amortization of the debt issuance costs associated with the warrants issued for the HCWG line of credit, and offering costs relating to the Mast Hill agreement.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presented:</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7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center"/>
              <w:ind w:right="361"/>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00" w:type="dxa"/>
            <w:vAlign w:val="bottom"/>
            <w:gridSpan w:val="4"/>
          </w:tcPr>
          <w:p>
            <w:pPr>
              <w:jc w:val="center"/>
              <w:ind w:right="1"/>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7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361"/>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73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Borders>
              <w:bottom w:val="single" w:sz="8" w:color="CCEEFF"/>
            </w:tcBorders>
            <w:gridSpan w:val="2"/>
          </w:tcPr>
          <w:p>
            <w:pPr>
              <w:spacing w:after="0"/>
              <w:rPr>
                <w:sz w:val="19"/>
                <w:szCs w:val="19"/>
                <w:color w:val="auto"/>
              </w:rPr>
            </w:pPr>
          </w:p>
        </w:tc>
      </w:tr>
      <w:tr>
        <w:trPr>
          <w:trHeight w:val="20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39,990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63,000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(23,010)</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1,675,554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1,009,001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666,553</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Legal and professional</w:t>
            </w: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1,477,909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1,155,338</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322,571</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1,833,747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705,264</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1,128,483</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based compensation</w:t>
            </w: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20,923,850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20,923,850</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License expense</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25,000</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(25,000)</w:t>
            </w:r>
          </w:p>
        </w:tc>
      </w:tr>
      <w:tr>
        <w:trPr>
          <w:trHeight w:val="230"/>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Advisory fees</w:t>
            </w:r>
          </w:p>
        </w:tc>
        <w:tc>
          <w:tcPr>
            <w:tcW w:w="1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11,737,806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11,737,806</w:t>
            </w:r>
          </w:p>
        </w:tc>
        <w:tc>
          <w:tcPr>
            <w:tcW w:w="80" w:type="dxa"/>
            <w:vAlign w:val="bottom"/>
          </w:tcPr>
          <w:p>
            <w:pPr>
              <w:spacing w:after="0"/>
              <w:rPr>
                <w:sz w:val="19"/>
                <w:szCs w:val="19"/>
                <w:color w:val="auto"/>
              </w:rPr>
            </w:pPr>
          </w:p>
        </w:tc>
      </w:tr>
      <w:tr>
        <w:trPr>
          <w:trHeight w:val="209"/>
        </w:trPr>
        <w:tc>
          <w:tcPr>
            <w:tcW w:w="73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37,648,886</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2,894,603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34,754,263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(37,608,876)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(2,831,603)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(34,777,273)</w:t>
            </w:r>
          </w:p>
        </w:tc>
        <w:tc>
          <w:tcPr>
            <w:tcW w:w="10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80,424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80,424</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on debt issuance and deferred offering costs</w:t>
            </w: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(360,200)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(360,200)</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240,138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240,138</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(357,672)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(2,559,456)</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2,201,784</w:t>
            </w:r>
          </w:p>
        </w:tc>
        <w:tc>
          <w:tcPr>
            <w:tcW w:w="80" w:type="dxa"/>
            <w:vAlign w:val="bottom"/>
          </w:tcPr>
          <w:p>
            <w:pPr>
              <w:spacing w:after="0"/>
              <w:rPr>
                <w:sz w:val="18"/>
                <w:szCs w:val="18"/>
                <w:color w:val="auto"/>
              </w:rPr>
            </w:pPr>
          </w:p>
        </w:tc>
      </w:tr>
      <w:tr>
        <w:trPr>
          <w:trHeight w:val="23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extinguishment of Bridge loan - related party</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(2,069,923)</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2,069,923</w:t>
            </w:r>
          </w:p>
        </w:tc>
        <w:tc>
          <w:tcPr>
            <w:tcW w:w="80" w:type="dxa"/>
            <w:vAlign w:val="bottom"/>
            <w:shd w:val="clear" w:color="auto" w:fill="CCEEFF"/>
          </w:tcPr>
          <w:p>
            <w:pPr>
              <w:spacing w:after="0"/>
              <w:rPr>
                <w:sz w:val="19"/>
                <w:szCs w:val="19"/>
                <w:color w:val="auto"/>
              </w:rPr>
            </w:pPr>
          </w:p>
        </w:tc>
      </w:tr>
      <w:tr>
        <w:trPr>
          <w:trHeight w:val="223"/>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(38,006,186</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(7,460,982</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(30,545,204</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was generated for fees for a “right to try” humanitarian program during 2025 and 2024.</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components of our research and development expenses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38"/>
        </w:trPr>
        <w:tc>
          <w:tcPr>
            <w:tcW w:w="446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CCEEFF"/>
            </w:tcBorders>
          </w:tcPr>
          <w:p>
            <w:pPr>
              <w:spacing w:after="0"/>
              <w:rPr>
                <w:sz w:val="19"/>
                <w:szCs w:val="19"/>
                <w:color w:val="auto"/>
              </w:rPr>
            </w:pPr>
          </w:p>
        </w:tc>
        <w:tc>
          <w:tcPr>
            <w:tcW w:w="4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 by project:</w:t>
            </w:r>
          </w:p>
        </w:tc>
        <w:tc>
          <w:tcPr>
            <w:tcW w:w="4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NEO100-01</w:t>
            </w:r>
          </w:p>
        </w:tc>
        <w:tc>
          <w:tcPr>
            <w:tcW w:w="44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688,628</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456,721</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NEO100-02</w:t>
            </w:r>
          </w:p>
        </w:tc>
        <w:tc>
          <w:tcPr>
            <w:tcW w:w="4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201,787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123,431</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NEO212</w:t>
            </w:r>
          </w:p>
        </w:tc>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455,629</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359,696</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Pediatric</w:t>
            </w:r>
          </w:p>
        </w:tc>
        <w:tc>
          <w:tcPr>
            <w:tcW w:w="4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99,010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68,988</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Laboratory</w:t>
            </w:r>
          </w:p>
        </w:tc>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192,377</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38,123</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1,675,554</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4220" w:type="dxa"/>
            <w:vAlign w:val="bottom"/>
            <w:vMerge w:val="restart"/>
          </w:tcPr>
          <w:p>
            <w:pPr>
              <w:jc w:val="right"/>
              <w:ind w:right="2870"/>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446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4" w:right="33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For the</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Borders>
              <w:bottom w:val="single" w:sz="8" w:color="CCEEFF"/>
            </w:tcBorders>
          </w:tcPr>
          <w:p>
            <w:pPr>
              <w:spacing w:after="0"/>
              <w:rPr>
                <w:sz w:val="19"/>
                <w:szCs w:val="19"/>
                <w:color w:val="auto"/>
              </w:rPr>
            </w:pPr>
          </w:p>
        </w:tc>
      </w:tr>
      <w:tr>
        <w:trPr>
          <w:trHeight w:val="20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Clinical trial expense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1,445,054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1,008,836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436,218</w:t>
            </w:r>
          </w:p>
        </w:tc>
        <w:tc>
          <w:tcPr>
            <w:tcW w:w="100" w:type="dxa"/>
            <w:vAlign w:val="bottom"/>
            <w:shd w:val="clear" w:color="auto" w:fill="CCEEFF"/>
          </w:tcPr>
          <w:p>
            <w:pPr>
              <w:spacing w:after="0"/>
              <w:rPr>
                <w:sz w:val="18"/>
                <w:szCs w:val="18"/>
                <w:color w:val="auto"/>
              </w:rPr>
            </w:pPr>
          </w:p>
        </w:tc>
      </w:tr>
      <w:tr>
        <w:trPr>
          <w:trHeight w:val="230"/>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laboratory</w:t>
            </w:r>
          </w:p>
        </w:tc>
        <w:tc>
          <w:tcPr>
            <w:tcW w:w="2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230,500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230,335</w:t>
            </w: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1,675,554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1,009,001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666,553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$1,675,554 and $1,009,000 for the six months ended June 30, 2025 and 2024, respectively. A portion of these expenses amounting to approximately $230,500 and $165 for the six months ended June 30, 2025 and 2024, respectively, are from the University of Southern California (USC), where Dr. Chen is a member of the faculty. The total increase of $666,553 was primarily due to:</w:t>
      </w:r>
    </w:p>
    <w:p>
      <w:pPr>
        <w:spacing w:after="0" w:line="176"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of clinical trial sites for NEO100’s clinical trial.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for NEO212.</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start of the clinical trial for NEO100-03for a Pediatric Indication.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patient recruitment efforts.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Legal and Professional Expenses</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Legal and professional expenses were $1,477,909 and $1,155,338 for the six months ended June 30, 2025 and 2024, respectively. The increase of 322,571 was primarily due to completion of the direct listing process.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$1,833,747 and $705,264 for the six months ended June 30, 2025 and 2024, respectively. The increase of $1,128,483 was primary due to a marketing campaign, rent and travel expenses.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Share Based Compensation</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Share based compensation resulted from the granting of RSUs and is the recognition of the expense from the grant date (which included a catch up period from the original date of issuance of the RSU’s through the Listing Date, due to the removal of the contingency which occurred on the Listing Date) through June 30, 2025.</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Advisory Fee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advisory fee was earned on the Listing Date March 26, 2025.</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1" w:name="page32"/>
    <w:bookmarkEnd w:id="31"/>
    <w:p>
      <w:pPr>
        <w:ind w:left="6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Interest expense was $357,672 and $2,559,456 for the six months ended June 30, 2025 and 2024, respectively. The interest for the six months ended June 30, 2025 relates to the short-term loan in March from a related party in the amount of $300,000 and $56,250 interest for a litigation matter. The OID interest for the six months ended June 30, 2024 relates to the OID for the related party bridge loan that was converted into common stock in June of 2024.</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Amortization of Debt Issuance and Deferred Offering Costs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amortization of debt issuance costs were $360,200 and $0 for the six months ended June 30, 2025 and 2024, respectively. This represents the amortization of the warrants issued for the HCWG line of credit and deferred offering costs relating to the Mast Hill agreement.</w:t>
      </w:r>
    </w:p>
    <w:p>
      <w:pPr>
        <w:sectPr>
          <w:pgSz w:w="11900" w:h="16838" w:orient="portrait"/>
          <w:cols w:equalWidth="0" w:num="1">
            <w:col w:w="11240"/>
          </w:cols>
          <w:pgMar w:left="320" w:top="794" w:right="3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jc w:val="right"/>
        <w:ind w:right="740"/>
        <w:spacing w:after="0"/>
        <w:rPr>
          <w:sz w:val="20"/>
          <w:szCs w:val="20"/>
          <w:color w:val="auto"/>
        </w:rPr>
      </w:pPr>
      <w:r>
        <w:rPr>
          <w:rFonts w:ascii="Times New Roman" w:cs="Times New Roman" w:eastAsia="Times New Roman" w:hAnsi="Times New Roman"/>
          <w:sz w:val="18"/>
          <w:szCs w:val="18"/>
          <w:color w:val="auto"/>
        </w:rPr>
        <w:t>The following table summarizes our cash flow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Financing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increase (decrease) in cash</w:t>
      </w:r>
    </w:p>
    <w:p>
      <w:pPr>
        <w:spacing w:after="0" w:line="2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the</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24174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17445" cy="8890"/>
                    </a:xfrm>
                    <a:prstGeom prst="rect">
                      <a:avLst/>
                    </a:prstGeom>
                    <a:noFill/>
                  </pic:spPr>
                </pic:pic>
              </a:graphicData>
            </a:graphic>
          </wp:anchor>
        </w:drawing>
      </w:r>
    </w:p>
    <w:p>
      <w:pPr>
        <w:ind w:left="400"/>
        <w:spacing w:after="0"/>
        <w:tabs>
          <w:tab w:leader="none" w:pos="1740" w:val="left"/>
          <w:tab w:leader="none" w:pos="294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Change</w:t>
      </w:r>
    </w:p>
    <w:p>
      <w:pPr>
        <w:spacing w:after="0" w:line="243" w:lineRule="exact"/>
        <w:rPr>
          <w:sz w:val="20"/>
          <w:szCs w:val="20"/>
          <w:color w:val="auto"/>
        </w:rPr>
      </w:pPr>
    </w:p>
    <w:p>
      <w:pPr>
        <w:ind w:left="260" w:hanging="255"/>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(10,964,226)  $(172,456)  $  (10,791,770)</w:t>
      </w:r>
    </w:p>
    <w:p>
      <w:pPr>
        <w:spacing w:after="0" w:line="2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11,024,3721,673,1289,351,244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4174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3" w:lineRule="exact"/>
        <w:rPr>
          <w:sz w:val="20"/>
          <w:szCs w:val="20"/>
          <w:color w:val="auto"/>
        </w:rPr>
      </w:pPr>
    </w:p>
    <w:p>
      <w:pPr>
        <w:spacing w:after="0"/>
        <w:tabs>
          <w:tab w:leader="none" w:pos="620" w:val="left"/>
          <w:tab w:leader="none" w:pos="1360" w:val="left"/>
          <w:tab w:leader="none" w:pos="1740" w:val="left"/>
          <w:tab w:leader="none" w:pos="2680" w:val="left"/>
          <w:tab w:leader="none" w:pos="30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60,146</w:t>
      </w:r>
      <w:r>
        <w:rPr>
          <w:sz w:val="20"/>
          <w:szCs w:val="20"/>
          <w:color w:val="auto"/>
        </w:rPr>
        <w:tab/>
      </w:r>
      <w:r>
        <w:rPr>
          <w:rFonts w:ascii="Times New Roman" w:cs="Times New Roman" w:eastAsia="Times New Roman" w:hAnsi="Times New Roman"/>
          <w:sz w:val="18"/>
          <w:szCs w:val="18"/>
          <w:u w:val="single" w:color="auto"/>
          <w:color w:val="auto"/>
        </w:rPr>
        <w:t>$</w:t>
        <w:tab/>
        <w:t>1,500,672</w:t>
        <w:tab/>
        <w:t>$</w:t>
        <w:tab/>
        <w:t>(1,440,526</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241744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17445" cy="25400"/>
                    </a:xfrm>
                    <a:prstGeom prst="rect">
                      <a:avLst/>
                    </a:prstGeom>
                    <a:noFill/>
                  </pic:spPr>
                </pic:pic>
              </a:graphicData>
            </a:graphic>
          </wp:anchor>
        </w:drawing>
      </w:r>
    </w:p>
    <w:p>
      <w:pPr>
        <w:spacing w:after="0" w:line="679" w:lineRule="exact"/>
        <w:rPr>
          <w:sz w:val="20"/>
          <w:szCs w:val="20"/>
          <w:color w:val="auto"/>
        </w:rPr>
      </w:pPr>
    </w:p>
    <w:p>
      <w:pPr>
        <w:sectPr>
          <w:pgSz w:w="11900" w:h="16838" w:orient="portrait"/>
          <w:cols w:equalWidth="0" w:num="2">
            <w:col w:w="6600" w:space="720"/>
            <w:col w:w="3920"/>
          </w:cols>
          <w:pgMar w:left="320" w:top="794" w:right="339" w:bottom="1440" w:gutter="0" w:footer="0" w:header="0"/>
          <w:type w:val="continuous"/>
        </w:sectPr>
      </w:pPr>
    </w:p>
    <w:p>
      <w:pPr>
        <w:spacing w:after="0" w:line="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2025, net cash used in operating activities was $10,964,226 consisting primarily of our net loss of $38,006,186, offset by share based compensation of $20,923,850, accretion of original issue discount of $300,000, amortization of costs of $769,441 and the accrued advisory fee of $5,882,710. These were offset by decreases in accrued compensation in the amount of $479,775, and prepaid expenses in the amount of $350,134.</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net cash used in operating activities was $172,456 consisting primarily of our net loss of $7,460,982 less the non-cash charge of the accretion of the original issue discount on the bridge loan in the amount $2,558,241, less the non-cash charge for the loss on extinguishment of convertible debt of $2,069,923 and an increase in accounts payable of $1,551,272.</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cash provided by financing activities was $11,024,372 consisting primarily of the sale of common stock of $11,324,372, receipt of $300,000 from a related party loan and the repayment of related party loan of $600,000. During the six months ended June 30, 2024, cash used in financing activities was $1,673,148, consisting primarily of proceeds from the sale of common stock of $1,702,658.</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Liquidity/Going Concern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Since our inception, we have funded our operations through the sale and issuance of preferred and common stock and debt financing rounds from related and third parties.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March 2025 prior to our direct listing we issued 625,000 shares of common stock in a private placement at a price of $16.00 per share for gross proceeds of approximately $10,000,000. In March 2025 after our direct listing we issued 102,750 shares of common stock in a private placement at a price of $16.00 per share for gross proceeds of approximately $1,644,000.</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shares of common stock were issued in the quarter ending June 30, 2025.</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a going concern basis, which contemplates the realization of assets and the settlement of liabilities and commitments in the normal course of business. Since our inception, we have not generated any revenue from product sales or any other sources, except humanitarian use, and we have incurred significant operating losses. We have not yet commercialized any products, and we do not expect to generate revenue from sales of any product candidates for a number of years, if ever. As reflected in the accompanying consolidated financial statements, we have incurred recurring net losses since our inception. For the three and six months ended June 30, 2025, the Company incurred a net loss of $5,680,170 and $38,006,186, respectively, and had an accumulated deficit of $88,614,631 at June 30, 2025. At June 30, 2025, the Company had cash totaling $125,039. These factors raise substantial doubt about our ability to continue as a going concern. Our ability to continue as a going concern is dependent upon our ability to raise additional funds and implement our strategies, such as executing additional licensing contracts. The consolidated financial statements do not include any adjustments that might be necessary if we are unable to continue as a going concern.</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ability to continue as a going concern is dependent on us raising additional capital and attaining and maintaining profitable operations in the future to meet our obligations and repay our liabilities arising from normal business operations when they come due. Since inception, we have funded our operations primarily through equity and debt financings and licensing income and we expect to continue to rely on these sources of capital in the future.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assurance can be given that any future financing will be available or, if available, that it will be on terms that are satisfactory to us. Even if we are able to obtain additional financing, it may contain undue restrictions on our operations, in the case of debt financing, or cause substantial dilution for our shareholders, in the case of equity financing, or grant unfavorable terms in licensing agreements.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expect our expenses to increase in connection with our ongoing activities, particularly as we continue our research and development, initiate and conduct preclinical studies and clinical trials, and seek marketing approval for our current and any of our future product candidates. In addition, if we obtain marketing approval for any of our current or our future product candidates, we expect to incur significant commercialization expenses related to product sales, marketing, manufacturing and distribution, which costs we may seek to offset through entry into collaboration agreements with third parties. Furthermore, we expect to incur additional costs associated with operating as a public company. Accordingly, we will need to obtain substantial additional funding in connection with our continuing operations. If we are unable to raise capital when needed or on acceptable terms, we would be forced to delay, reduce or eliminate our research and development programs or future commercialization efforts.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3" w:name="page34"/>
    <w:bookmarkEnd w:id="33"/>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We expect to finance our operations over the next 12 months primarily through existing cash balances and the proceeds from the aforementioned private placements and supplemented as necessary by funds available through our Line of Credit Agreement with HCWG and sales under the Equity Purchase Agreement, each as described below. We have based this estimate on assumptions that may prove to be wrong, and we may use our available capital resources sooner than we currently expect. Our future capital requirements will depend on a number of factors, including:</w:t>
      </w:r>
    </w:p>
    <w:p>
      <w:pPr>
        <w:spacing w:after="0" w:line="180"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conducting preclinical studies and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discovery, preclinical development, laboratory testing, and clinical trials for product candidates we may develop, if any;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on favorable terms, if at all;</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the occurrence of other developments that trigger payments under any license or collaboration agreements we might have at such time;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sales, marketing, manufacturing and distribution, for any of our product candidates for which we receive marketing approval;</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revenue, if any, received from commercial sales of our product candidates, should any of our product candidates receive marketing approval;</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obtaining, maintaining and enforcing our intellectual property rights, and defending intellectual property-related claims;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business operations and research and development activities;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public or private equity offerings and debt financings or other sources, such as potential collaboration agreements, strategic alliances and licensing arrangements. To the extent that we raise additional capital through the sale of equity or convertible debt securities, your ownership interests may be diluted, and the terms of these securities may include liquidation or other preferences that could adversely affect your rights as a common stockholder. Additional debt financing, if available, may involve agreements that include restrictive covenants that limit our ability to take specific actions, such as incurring additional debt, making capital expenditures or declaring dividends, that could adversely impact our ability to conduct our business.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raise funds through potential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account for stock-based compensation, including restricted stock units (RSUs), in accordance with ASC 718. RSUs are measured at fair value on the grant date based on our common stock price and expense over the vesting period. For awards with performance or market conditions, expense is recognized based on the probability of achievement and may be accelerated. We estimate forfeitures based on historical data and adjust these estimates periodically. Changes in forfeiture rates, stock price, or performance assumptions can materially affect stock-based compensation expenses. Management reviews these assumptions quarterly and updates estimates as necessary. We consider the accounting for RSUs a critical estimate due to the judgment involved and its material impact on our financial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not currently exposed to significant market risk related to changes in foreign currency exchange rates. However, we have contracted with and may continue to contract with foreign vendors that are located in Europe and India. Our operations may be subject to fluctuations in foreign currency exchange rates in the future.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We do not believe that inflation had a material effect on our business, financial condition or results of operations during the three and six months ended June 30, 2025 or the year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as appropriate to allow timely decisions regarding required disclosure.</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identified all of the information required to be disclosed, and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June 30, 2025. Based upon their evaluation, and due to material weaknesses in our internal control over financial reporting related to; controls over segregation of duties, entity level controls over the risk assessment, information and communication and monitoring process, financial controls over all significant transaction classes, controls over authorization and tracking of related party transactions and controls over information technology over user access and provisioning, our Chief Executive Officer and Chief Financial Officer concluded that our disclosure controls and procedures (as defined in Rules 13a-15(e) and 15d-15(e) under the Exchange Act) were not effective as of June 30, 2025.</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13a-15(f) under the Securities Exchange Act of 1934) during the quarter ended June 30, 2025,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the Exchange Act Rule 13a-15(f). Our internal control over financial reporting is designed to provide reasonable assurance to our management and board of directors regarding the preparation and fair presentation of published consolidated financial statements. A control system, no matter how well designed and operated, can only provide reasonable, not absolute, assurance that the objectives of the control system are met. Because of these inherent limitations, management does not expect that our internal control over financial reporting will prevent all errors and all fraud. Management conducted an evaluation of our internal control over financial reporting based on the framework in Internal Control-Integrated Framework issued in 2013 by the Committee of Sponsoring Organizations of the Treadway Commission (the “2013 Framework”). Based on our evaluation under the 2013 Framework, management concluded that our internal control over financial reporting was not effective as of June 30, 2025, due to the material weakness in our internal control over duties separation, company-wide risk and communication processes, major financial transactions, related party dealings, and IT user access management. As a result, we performed additional analysis as deemed necessary to ensure that our consolidated financial statements were prepared in accordance with U.S. generally accepted accounting principles. Accordingly, management believes that the consolidated financial statements included in this Form 10-Q present fairly in all material respects our financial position, results of operations, and cash flows for the period presented.</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Management has implemented remediation steps to improve our internal control over financial reporting. Specifically, we expanded and improved our review process for complex securities and related accounting standards. We plan to further improve this process by enhancing access to accounting literature, identification of third-party professionals with whom to consult regarding complex accounting applications and consideration of additional staff with the requisite experience and training to supplement existing accounting professionals. The Company can offer no assurance that these changes will ultimately have the intended effects.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Quarterly Report on Form 10-Q does not include an attestation report on internal controls from our independent registered public accounting firm due to our status as an emerging growth company under the JOBS Act.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June 6, 2023, a vendor filed a complaint against the Company for breach of contract in the Central District of California. The vendor alleged that the Company improperly terminated an Intellectual Property License and Supply Agreement (“IPLSA”) and that the Company also defrauded the vendor in connection with the IPLSA. This matter was settled on October 16, 2023, and the Company agreed to pay the vendor $600,000 within 5 business days of the close of the date that the Company completes an IPO or March 31, 2024, whichever occurs first. The Company recognized this as a litigation settlement expense in the accompanying consolidated statement of operations for the year ended December 31, 2023, and a litigation settlement payable in the accompany consolidated balance sheet at December 31, 2024 and December 31, 2023.</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31, 2024, the vendor agreed to extend the payment until May 15, 2024 for payment of an additional $25,000. The Company has not made the payment as of October 28, 2024, and the settlement is payable on demand. Such an amount is included in litigation settlement payable in the accompanying consolidated balance sheet at December 31, 2024. On July 25, 2024 the arbitrator granted the implementation of interest at the statutory rate on the unpaid balance commencing May 15, 2024 until paid.</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July 1, 2022, NeOnc Technologies, Inc. and Fox Infused, LLC, a Delaware limited liability company (“Fox Infused”), entered into an Intellectual Property License and Supply Agreement effective July 1, 2022 (the “Agreement”) whereby NeOnc agreed to supply certain products to Fox Infused and license certain of our patents. We terminated the Agreement with Fox Infused on April 25, 2023. On June 6, 2023, Fox Infused filed a complaint against NeOnc in the Central District of California alleging that the termination was improper (Civil Action No. 2:23-04431). Fox Infused also filed an ex parte application for a temporary restraining order and an order to show cause on a preliminary injunction against us seeking to have the court stop the termination of the contract. Fox Infused’s temporary restraining order application was denied and the case dismissed without prejudice. Fox Infused refiled the case in arbitration before the American Arbitration Association (Case No. 01-23-0002-5020). The parties engaged in settlement discussions and agreed to settle the dispute for a $600,000 payment by us to Fox Infused within 5 business days of the closing date of the Company’s initial public offering or March 31, 2024. The Company is currently in default under the terms of such a settlement agreement.</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that set forth above, we are, from time to time, party to various claims and legal proceedings arising out of our ordinary course of business, but we do not believe that any of these claims or proceedings will have a material effect on our business, consolidated financial condition or results of operations.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under Item 1A, “Risk Factors,” of our Quarterly Report on Form 10-Q for the period ended March 31, 2025.</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following risk factors, as well as the other information in this Quarterly Report on Form 10-Q, before deciding whether to invest in shares of our common stock. If any of the following risks actually occurs, our business, results of operations and financial condition could be materially adversely affected. In this case, the trading price of our common stock would likely decline, and you might lose part or all your investment in our common stock.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six months ended June 30, 2025, the Company issued the following unregistered securities: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February 2025, 50,000 restricted stock units were granted to each of Dr. Steven L. Giannotta, Jim Delshad and Dr. Ming-Fu Chiang. The forgoing restricted stock units vest one hundred percent (100%) seven months following March 25, 2025.</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March 2025, we issued 624,999 shares of common stock to various unaffiliated third parties in a private placement at a price of $16.00 per share for gross proceeds of approximately $10,000,000.</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March 2025, we issued to Dawson James Securities, Inc. and Mast Hill Partner LP 30,000 and 16,000 shares of common stock upon the time of our direct listing, respectively.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March 2025, we issued 102,750 shares of common stock to various unaffiliated third parties in a private placement at a price of $16.00 per share for gross proceeds of approximately $1,644,000.</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June 2025, 200,000 restricted stock units were granted to Josh Newman. The forgoing restricted stock units vest one hundred percent (100%) thirty-six months following issuance.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July 2025, the Company sold 132,342 shares of common stock at $3.73 per share for gross proceeds of approximately $493,000 pursuant to Equity Purchase Agreement with Mast Hill Fund, LP</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None of the foregoing transactions involved any underwriters, underwriting discounts or commissions, or any public offering. Unless otherwise specified above, we believe these transactions were exempt from registration under the Securities Act in reliance on Section 4(2) of the Securities Act (and Regulation D or Regulation S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7719"/>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3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92"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6. 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020" w:type="dxa"/>
            <w:vAlign w:val="bottom"/>
            <w:tcBorders>
              <w:top w:val="single" w:sz="8" w:color="auto"/>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100" w:type="dxa"/>
            <w:vAlign w:val="bottom"/>
            <w:tcBorders>
              <w:top w:val="single" w:sz="8" w:color="auto"/>
              <w:bottom w:val="single" w:sz="8" w:color="0000EE"/>
            </w:tcBorders>
            <w:gridSpan w:val="20"/>
            <w:shd w:val="clear" w:color="auto" w:fill="CCEEFF"/>
          </w:tcPr>
          <w:p>
            <w:pPr>
              <w:spacing w:after="0" w:line="169"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Amended and Restated Certificate of Incorporation (incorporated by reference to Exhibit 3.1 filed on Form 8-K filed by the Registrant on</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March 27, 2025)</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5"/>
                <w:szCs w:val="15"/>
                <w:color w:val="auto"/>
              </w:rPr>
            </w:pPr>
          </w:p>
        </w:tc>
        <w:tc>
          <w:tcPr>
            <w:tcW w:w="10100" w:type="dxa"/>
            <w:vAlign w:val="bottom"/>
            <w:gridSpan w:val="20"/>
          </w:tcPr>
          <w:p>
            <w:pPr>
              <w:spacing w:after="0" w:line="17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Amended and Restated Bylaws (incorporated by reference to Exhibit 3.2 filed on Form 8-K filed by the Registrant on March 27, 2025)</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Form of Common Stock Certificate (incorporated by reference to Exhibit 4.1 filed with the Registration Statement on Form S-1 filed by the</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20" w:type="dxa"/>
            <w:vAlign w:val="bottom"/>
            <w:tcBorders>
              <w:bottom w:val="single" w:sz="8" w:color="0000EE"/>
            </w:tcBorders>
            <w:gridSpan w:val="5"/>
            <w:shd w:val="clear" w:color="auto" w:fill="CCEEFF"/>
          </w:tcPr>
          <w:p>
            <w:pPr>
              <w:spacing w:after="0" w:line="196" w:lineRule="exact"/>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Registrant on January 3, 2025)</w:t>
              </w:r>
            </w:hyperlink>
          </w:p>
        </w:tc>
        <w:tc>
          <w:tcPr>
            <w:tcW w:w="7880" w:type="dxa"/>
            <w:vAlign w:val="bottom"/>
            <w:tcBorders>
              <w:bottom w:val="single" w:sz="8" w:color="CCEEFF"/>
            </w:tcBorders>
            <w:gridSpan w:val="15"/>
            <w:shd w:val="clear" w:color="auto" w:fill="CCEEFF"/>
          </w:tcPr>
          <w:p>
            <w:pPr>
              <w:spacing w:after="0"/>
              <w:rPr>
                <w:sz w:val="18"/>
                <w:szCs w:val="18"/>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20"/>
          </w:tcPr>
          <w:p>
            <w:pPr>
              <w:spacing w:after="0" w:line="17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Fourth Amended &amp; Restated Promissory Note, dated December 4, 2023, by NeOnc Technologies Holdings, Inc. and Holders (incorporated</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0"/>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by reference to Exhibit 4.2 filed with the Registration Statement on Form S-1 filed by the Registrant on January 3, 2025)</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Promissory Note, dated October 11, 2024, by NeOnc Technologies Holdings, Inc. and HCWG LLC (incorporated by reference to Exhibit</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0" w:type="dxa"/>
            <w:vAlign w:val="bottom"/>
            <w:tcBorders>
              <w:bottom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4.</w:t>
              </w:r>
              <w:r>
                <w:rPr>
                  <w:rFonts w:ascii="Times New Roman" w:cs="Times New Roman" w:eastAsia="Times New Roman" w:hAnsi="Times New Roman"/>
                  <w:sz w:val="18"/>
                  <w:szCs w:val="18"/>
                  <w:u w:val="single" w:color="auto"/>
                  <w:color w:val="0000EE"/>
                  <w:w w:val="99"/>
                </w:rPr>
                <w:t>3</w:t>
              </w:r>
              <w:r>
                <w:rPr>
                  <w:rFonts w:ascii="Times New Roman" w:cs="Times New Roman" w:eastAsia="Times New Roman" w:hAnsi="Times New Roman"/>
                  <w:sz w:val="18"/>
                  <w:szCs w:val="18"/>
                  <w:color w:val="0000EE"/>
                  <w:w w:val="99"/>
                </w:rPr>
                <w:t xml:space="preserve"> filed with the Registration Statement on Form S-1 filed by the Registrant on January 3, 2025)</w:t>
              </w:r>
            </w:hyperlink>
          </w:p>
        </w:tc>
        <w:tc>
          <w:tcPr>
            <w:tcW w:w="3100" w:type="dxa"/>
            <w:vAlign w:val="bottom"/>
            <w:tcBorders>
              <w:bottom w:val="single" w:sz="8" w:color="CCEEFF"/>
            </w:tcBorders>
            <w:gridSpan w:val="6"/>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5"/>
                <w:szCs w:val="15"/>
                <w:color w:val="auto"/>
              </w:rPr>
            </w:pPr>
          </w:p>
        </w:tc>
        <w:tc>
          <w:tcPr>
            <w:tcW w:w="10100" w:type="dxa"/>
            <w:vAlign w:val="bottom"/>
            <w:tcBorders>
              <w:bottom w:val="single" w:sz="8" w:color="0000EE"/>
            </w:tcBorders>
            <w:gridSpan w:val="20"/>
          </w:tcPr>
          <w:p>
            <w:pPr>
              <w:spacing w:after="0" w:line="17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Common Stock Purchase Warrant, dated October 11, 2024, by NeOnc Technologies Holdings, Inc. and HCWG LLC (incorporated by</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0"/>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reference to Exhibit 4.4 filed with the Registration Statement on Form S-1 filed by the Registrant on January 3, 2025)</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Promissory Note, dated February 25, 2025, by NeOnc Technologies Holdings, Inc. and Amir Heshmatpour (incorporated by reference to</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760" w:type="dxa"/>
            <w:vAlign w:val="bottom"/>
            <w:tcBorders>
              <w:bottom w:val="single" w:sz="8" w:color="0000EE"/>
            </w:tcBorders>
            <w:gridSpan w:val="15"/>
            <w:shd w:val="clear" w:color="auto" w:fill="CCEEFF"/>
          </w:tcPr>
          <w:p>
            <w:pPr>
              <w:spacing w:after="0" w:line="196" w:lineRule="exact"/>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Exhibit 4.5 filed with the Registration Statement on Form S-1 filed by the Registrant on February 26, 2025)</w:t>
              </w:r>
            </w:hyperlink>
          </w:p>
        </w:tc>
        <w:tc>
          <w:tcPr>
            <w:tcW w:w="2340" w:type="dxa"/>
            <w:vAlign w:val="bottom"/>
            <w:tcBorders>
              <w:bottom w:val="single" w:sz="8" w:color="CCEEFF"/>
            </w:tcBorders>
            <w:gridSpan w:val="5"/>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5"/>
                <w:szCs w:val="15"/>
                <w:color w:val="auto"/>
              </w:rPr>
            </w:pPr>
          </w:p>
        </w:tc>
        <w:tc>
          <w:tcPr>
            <w:tcW w:w="10100" w:type="dxa"/>
            <w:vAlign w:val="bottom"/>
            <w:tcBorders>
              <w:bottom w:val="single" w:sz="8" w:color="0000EE"/>
            </w:tcBorders>
            <w:gridSpan w:val="20"/>
          </w:tcPr>
          <w:p>
            <w:pPr>
              <w:spacing w:after="0" w:line="17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Form of Convertible Promissory Note (incorporated by reference to Exhibit 4.1 filed with the Form 8-K filed by the Registrant on July 22,</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2025)</w:t>
              </w:r>
            </w:hyperlink>
          </w:p>
        </w:tc>
        <w:tc>
          <w:tcPr>
            <w:tcW w:w="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Form of Securities Purchase Agreement (incorporated by reference to Exhibit 10.1 filed with the Form 8-K filed by the Registrant on April</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1, 2025)</w:t>
              </w:r>
            </w:hyperlink>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20"/>
          </w:tcPr>
          <w:p>
            <w:pPr>
              <w:spacing w:after="0" w:line="17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Office Lease, dated April 7, 2025, by and between the Company and RREF II Calabasas Park Center LLC (incorporated by reference to</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0"/>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Exhibit 10.1 filed with the Form 8-K filed by the Registrant on April 11, 2025)</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5"/>
                <w:szCs w:val="15"/>
                <w:color w:val="auto"/>
              </w:rPr>
            </w:pPr>
          </w:p>
        </w:tc>
        <w:tc>
          <w:tcPr>
            <w:tcW w:w="10100" w:type="dxa"/>
            <w:vAlign w:val="bottom"/>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Employment Agreement dated June 5, 2025, between NeOnc Technologies Holdings, Inc. and Josh Neman (incorporated by reference to</w:t>
              </w:r>
            </w:hyperlink>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80" w:type="dxa"/>
            <w:vAlign w:val="bottom"/>
            <w:tcBorders>
              <w:top w:val="single" w:sz="8" w:color="0000EE"/>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Exhibit 10.1 filed with the Form 8-K filed by the Registrant on June 6, 2025)</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58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5"/>
                <w:szCs w:val="15"/>
                <w:color w:val="auto"/>
              </w:rPr>
            </w:pPr>
          </w:p>
        </w:tc>
        <w:tc>
          <w:tcPr>
            <w:tcW w:w="10100" w:type="dxa"/>
            <w:vAlign w:val="bottom"/>
            <w:tcBorders>
              <w:bottom w:val="single" w:sz="8" w:color="0000EE"/>
            </w:tcBorders>
            <w:gridSpan w:val="20"/>
          </w:tcPr>
          <w:p>
            <w:pPr>
              <w:spacing w:after="0" w:line="17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Restricted Stock Award Agreement dated June 5, 2025, between NeOnc Technologies Holdings, Inc. and Josh Neman (incorporated by</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0"/>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reference to Exhibit 10.2 filed with the Form 8-K filed by the Registrant on June 6, 2025)</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Form of Convertible Promissory Note Purchase Agreement (incorporated by reference to Exhibit 10.1 filed with the Form 8-K filed by the</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Registrant on July 22, 2025)</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5"/>
                <w:szCs w:val="15"/>
                <w:color w:val="auto"/>
              </w:rPr>
            </w:pPr>
          </w:p>
        </w:tc>
        <w:tc>
          <w:tcPr>
            <w:tcW w:w="10100" w:type="dxa"/>
            <w:vAlign w:val="bottom"/>
            <w:tcBorders>
              <w:bottom w:val="single" w:sz="8" w:color="0000EE"/>
            </w:tcBorders>
            <w:gridSpan w:val="20"/>
          </w:tcPr>
          <w:p>
            <w:pPr>
              <w:spacing w:after="0" w:line="17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Letter of Intent dated July 24, 2025, between the Company, Dr. Ishwar Puri and Beth Levinson (incorporated by reference to Exhibit 10.1</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0"/>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filed with the Form 8-K filed by the Registrant on July 30, 2025)</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Subscription Agreement dated June 28, 2025, between NuroMENA and Quazar (incorporated by reference to Exhibit 10.1 filed with the</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Form 8-K filed by the Registrant on August 1, 2025)</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58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5"/>
                <w:szCs w:val="15"/>
                <w:color w:val="auto"/>
              </w:rPr>
            </w:pPr>
          </w:p>
        </w:tc>
        <w:tc>
          <w:tcPr>
            <w:tcW w:w="101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Rules 13a-14(a) and 15d-14(a)</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Borders>
              <w:bottom w:val="single" w:sz="8" w:color="CCEEFF"/>
            </w:tcBorders>
            <w:shd w:val="clear" w:color="auto" w:fill="CCEEFF"/>
          </w:tcPr>
          <w:p>
            <w:pPr>
              <w:spacing w:after="0"/>
              <w:rPr>
                <w:sz w:val="17"/>
                <w:szCs w:val="17"/>
                <w:color w:val="auto"/>
              </w:rPr>
            </w:pPr>
          </w:p>
        </w:tc>
        <w:tc>
          <w:tcPr>
            <w:tcW w:w="620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Principal Financial Officer Pursuant to Rules 13a-14(a) and 15d-14(a)</w:t>
            </w:r>
          </w:p>
        </w:tc>
        <w:tc>
          <w:tcPr>
            <w:tcW w:w="3900" w:type="dxa"/>
            <w:vAlign w:val="bottom"/>
            <w:tcBorders>
              <w:bottom w:val="single" w:sz="8" w:color="CCEEFF"/>
            </w:tcBorders>
            <w:gridSpan w:val="9"/>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5"/>
                <w:szCs w:val="15"/>
                <w:color w:val="auto"/>
              </w:rPr>
            </w:pPr>
          </w:p>
        </w:tc>
        <w:tc>
          <w:tcPr>
            <w:tcW w:w="101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18 U.S.C. Section 1350</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shd w:val="clear" w:color="auto" w:fill="CCEEFF"/>
          </w:tcPr>
          <w:p>
            <w:pPr>
              <w:spacing w:after="0"/>
              <w:rPr>
                <w:sz w:val="17"/>
                <w:szCs w:val="17"/>
                <w:color w:val="auto"/>
              </w:rPr>
            </w:pPr>
          </w:p>
        </w:tc>
        <w:tc>
          <w:tcPr>
            <w:tcW w:w="101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18 U.S.C. Section 1350</w:t>
            </w:r>
          </w:p>
        </w:tc>
      </w:tr>
      <w:tr>
        <w:trPr>
          <w:trHeight w:val="216"/>
        </w:trPr>
        <w:tc>
          <w:tcPr>
            <w:tcW w:w="11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568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auto"/>
              </w:rPr>
              <w:t>Inline XBRL Instance</w:t>
            </w:r>
          </w:p>
        </w:tc>
        <w:tc>
          <w:tcPr>
            <w:tcW w:w="4420" w:type="dxa"/>
            <w:vAlign w:val="bottom"/>
            <w:tcBorders>
              <w:top w:val="single" w:sz="8" w:color="CCEEFF"/>
            </w:tcBorders>
            <w:gridSpan w:val="11"/>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Labels</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8"/>
                <w:szCs w:val="18"/>
                <w:color w:val="auto"/>
              </w:rPr>
            </w:pPr>
          </w:p>
        </w:tc>
        <w:tc>
          <w:tcPr>
            <w:tcW w:w="1010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9"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Quarterly Report on Form 10-Q to be signed on its behalf by the undersigned, thereunto duly authorized, in Los Angeles, California, on August 18, 2025.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Dr. Thomas Chen</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Dr. Thomas Chen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required under the Securities Act of 1933, this Quarterly Report on Form 10-Q has been signed below by the following persons, in the capacities and on the dates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40" w:type="dxa"/>
            <w:vAlign w:val="bottom"/>
          </w:tcPr>
          <w:p>
            <w:pPr>
              <w:spacing w:after="0"/>
              <w:rPr>
                <w:sz w:val="20"/>
                <w:szCs w:val="20"/>
                <w:color w:val="auto"/>
              </w:rPr>
            </w:pPr>
          </w:p>
        </w:tc>
        <w:tc>
          <w:tcPr>
            <w:tcW w:w="448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6"/>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Dr. Thomas Chen</w:t>
            </w:r>
          </w:p>
        </w:tc>
        <w:tc>
          <w:tcPr>
            <w:tcW w:w="24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18, 2025</w:t>
            </w:r>
          </w:p>
        </w:tc>
      </w:tr>
      <w:tr>
        <w:trPr>
          <w:trHeight w:val="228"/>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Dr. Thomas Chen</w:t>
            </w:r>
          </w:p>
        </w:tc>
        <w:tc>
          <w:tcPr>
            <w:tcW w:w="24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800" w:type="dxa"/>
            <w:vAlign w:val="bottom"/>
          </w:tcPr>
          <w:p>
            <w:pPr>
              <w:spacing w:after="0"/>
              <w:rPr>
                <w:sz w:val="19"/>
                <w:szCs w:val="19"/>
                <w:color w:val="auto"/>
              </w:rPr>
            </w:pPr>
          </w:p>
        </w:tc>
      </w:tr>
      <w:tr>
        <w:trPr>
          <w:trHeight w:val="414"/>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Keithly Garnett</w:t>
            </w:r>
          </w:p>
        </w:tc>
        <w:tc>
          <w:tcPr>
            <w:tcW w:w="24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18, 2025</w:t>
            </w:r>
          </w:p>
        </w:tc>
      </w:tr>
      <w:tr>
        <w:trPr>
          <w:trHeight w:val="228"/>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Keithly Garnett</w:t>
            </w:r>
          </w:p>
        </w:tc>
        <w:tc>
          <w:tcPr>
            <w:tcW w:w="24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c>
          <w:tcPr>
            <w:tcW w:w="1800" w:type="dxa"/>
            <w:vAlign w:val="bottom"/>
          </w:tcPr>
          <w:p>
            <w:pPr>
              <w:spacing w:after="0"/>
              <w:rPr>
                <w:sz w:val="19"/>
                <w:szCs w:val="19"/>
                <w:color w:val="auto"/>
              </w:rPr>
            </w:pPr>
          </w:p>
        </w:tc>
      </w:tr>
      <w:tr>
        <w:trPr>
          <w:trHeight w:val="542"/>
        </w:trPr>
        <w:tc>
          <w:tcPr>
            <w:tcW w:w="450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gridSpan w:val="2"/>
          </w:tcPr>
          <w:p>
            <w:pPr>
              <w:jc w:val="right"/>
              <w:ind w:right="3410"/>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Dr. Thomas Chen certify that:</w:t>
      </w:r>
    </w:p>
    <w:p>
      <w:pPr>
        <w:spacing w:after="0" w:line="225"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June 30, 2025 of NeOnc Technologies Holdings, Inc.; and</w:t>
      </w:r>
    </w:p>
    <w:p>
      <w:pPr>
        <w:spacing w:after="0" w:line="25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18,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Dr. Thomas Chen</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Dr. Thomas Chen</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79"/>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Keithly Garnett, certify that:</w:t>
      </w:r>
    </w:p>
    <w:p>
      <w:pPr>
        <w:spacing w:after="0" w:line="225"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June 30, 2025 of NeOnc Technologies Holdings, Inc.;</w:t>
      </w:r>
    </w:p>
    <w:p>
      <w:pPr>
        <w:spacing w:after="0" w:line="25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18,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Keithly Garnett</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Keithly Garnett</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79"/>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Dr. Thomas Chen, Chief Executive Officer of NeOnc Technologies Holdings, Inc., certify that:</w:t>
      </w:r>
    </w:p>
    <w:p>
      <w:pPr>
        <w:spacing w:after="0" w:line="225"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quarterly report on Form 10-Q of NeOnc Technologies Holdings, Inc. for the period ended June 30, 2025 fully complies with the requirements of Section 13(a) or 15(d) of the Securities Exchange Act of 1934; and</w:t>
      </w:r>
    </w:p>
    <w:p>
      <w:pPr>
        <w:spacing w:after="0" w:line="162"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information contained in such report fairly presents, in all material respects, the financial condition and results of operations of NeOnc Technologies Holdings, Inc.</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Dr Thomas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1">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Dr Thomas Chen</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Date: August 18, 2025</w:t>
      </w:r>
    </w:p>
    <w:p>
      <w:pPr>
        <w:spacing w:after="0" w:line="23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NeOnc Technologies Holdings, Inc. and will be retained by NeOnc Technologies Holdings,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Keithly Garnett, Chief Financial Officer of NeOnc Technologies Holdings, Inc., certify that:</w:t>
      </w:r>
    </w:p>
    <w:p>
      <w:pPr>
        <w:spacing w:after="0" w:line="225"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quarterly report on Form 10-Q of NeOnc Technologies Holdings, Inc. for the period ended June 30, 2025 fully complies with the requirements of Section 13(a) or 15(d) of the Securities Exchange Act of 1934; and</w:t>
      </w:r>
    </w:p>
    <w:p>
      <w:pPr>
        <w:spacing w:after="0" w:line="162"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information contained in such report fairly presents, in all material respects, the financial condition and results of operations of NeOnc Technologies Holdings, Inc.</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Keithly Garnett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Keithly Garnett</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Date: August 18, 2025</w:t>
      </w:r>
    </w:p>
    <w:p>
      <w:pPr>
        <w:spacing w:after="0" w:line="23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NeOnc Technologies Holdings, Inc. and will be retained by NeOnc Technologies Holdings,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lowerLetter"/>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lowerRoman"/>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79" Type="http://schemas.openxmlformats.org/officeDocument/2006/relationships/image" Target="media/image57.png"/><Relationship Id="rId80" Type="http://schemas.openxmlformats.org/officeDocument/2006/relationships/image" Target="media/image58.png"/><Relationship Id="rId81" Type="http://schemas.openxmlformats.org/officeDocument/2006/relationships/image" Target="media/image59.png"/><Relationship Id="rId82" Type="http://schemas.openxmlformats.org/officeDocument/2006/relationships/image" Target="media/image60.png"/><Relationship Id="rId83" Type="http://schemas.openxmlformats.org/officeDocument/2006/relationships/image" Target="media/image61.png"/><Relationship Id="rId84" Type="http://schemas.openxmlformats.org/officeDocument/2006/relationships/image" Target="media/image62.png"/><Relationship Id="rId64" Type="http://schemas.openxmlformats.org/officeDocument/2006/relationships/hyperlink" Target="https://www.sec.gov/Archives/edgar/data/1979414/000182912625002097/neonctechnologies_ex3-1.htm" TargetMode="External"/><Relationship Id="rId65" Type="http://schemas.openxmlformats.org/officeDocument/2006/relationships/hyperlink" Target="https://www.sec.gov/Archives/edgar/data/1979414/000182912625002097/neonctechnologies_ex3-2.htm" TargetMode="External"/><Relationship Id="rId66" Type="http://schemas.openxmlformats.org/officeDocument/2006/relationships/hyperlink" Target="https://www.sec.gov/Archives/edgar/data/1979414/000182912625000013/neonctechnologies_ex4-1.htm" TargetMode="External"/><Relationship Id="rId67" Type="http://schemas.openxmlformats.org/officeDocument/2006/relationships/hyperlink" Target="https://www.sec.gov/Archives/edgar/data/1979414/000182912625000013/neonctechnologies_ex4-2.htm" TargetMode="External"/><Relationship Id="rId68" Type="http://schemas.openxmlformats.org/officeDocument/2006/relationships/hyperlink" Target="https://www.sec.gov/Archives/edgar/data/1979414/000182912625000013/neonctechnologies_ex4-3.htm" TargetMode="External"/><Relationship Id="rId69" Type="http://schemas.openxmlformats.org/officeDocument/2006/relationships/hyperlink" Target="https://www.sec.gov/Archives/edgar/data/1979414/000182912625000013/neonctechnologies_ex4-4.htm" TargetMode="External"/><Relationship Id="rId70" Type="http://schemas.openxmlformats.org/officeDocument/2006/relationships/hyperlink" Target="https://www.sec.gov/Archives/edgar/data/1979414/000182912625001228/neonctechnologies_ex4-5.htm" TargetMode="External"/><Relationship Id="rId71" Type="http://schemas.openxmlformats.org/officeDocument/2006/relationships/hyperlink" Target="http://www.sec.gov/Archives/edgar/data/1979414/000182912625005280/neonctechnologies_ex4-1.htm" TargetMode="External"/><Relationship Id="rId72" Type="http://schemas.openxmlformats.org/officeDocument/2006/relationships/hyperlink" Target="https://www.sec.gov/Archives/edgar/data/1979414/000182912625002295/neonctechnologies_ex10-1.htm" TargetMode="External"/><Relationship Id="rId73" Type="http://schemas.openxmlformats.org/officeDocument/2006/relationships/hyperlink" Target="https://www.sec.gov/Archives/edgar/data/1979414/000182912625002595/neonctechnologies_ex10-1.htm" TargetMode="External"/><Relationship Id="rId74" Type="http://schemas.openxmlformats.org/officeDocument/2006/relationships/hyperlink" Target="https://www.sec.gov/Archives/edgar/data/1979414/000182912625004324/neonctechnologies_ex10-1.htm" TargetMode="External"/><Relationship Id="rId75" Type="http://schemas.openxmlformats.org/officeDocument/2006/relationships/hyperlink" Target="https://www.sec.gov/Archives/edgar/data/1979414/000182912625004324/neonctechnologies_ex10-2.htm" TargetMode="External"/><Relationship Id="rId76" Type="http://schemas.openxmlformats.org/officeDocument/2006/relationships/hyperlink" Target="http://www.sec.gov/Archives/edgar/data/1979414/000182912625005280/neonctechnologies_ex10-1.htm" TargetMode="External"/><Relationship Id="rId77" Type="http://schemas.openxmlformats.org/officeDocument/2006/relationships/hyperlink" Target="http://www.sec.gov/Archives/edgar/data/1979414/000182912625005605/neonctechnologies_ex10-1.htm" TargetMode="External"/><Relationship Id="rId78" Type="http://schemas.openxmlformats.org/officeDocument/2006/relationships/hyperlink" Target="https://www.sec.gov/Archives/edgar/data/1979414/000182912625005708/neonctechnologies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2025-08-18T12:03:31Z</dcterms:created>
  <dcterms:modified xsi:type="dcterms:W3CDTF">2025-08-18T12:03:31Z</dcterms:modified>
</cp:coreProperties>
</file>