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001-42567</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92-1954864</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570-6844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2026, Ming-Fu (Alan) Chiang, M.D., Ph.D., MBA, a Class II director, notified NeOnc Technologies Holdings, Inc. (the “Company”) of his resignation as a member of the Company’s Board of Directors (the “Board”), effective immediately. In connection with his resignation, Dr. Chiang also resigned from the Company’s Scientific Advisory Board. Dr. Chiang’s resignation was not the result of a disagreement with the Company on any matter relating to the Company’s operations, policies, or practices.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2026, the Board of the Company elected Nasim Shomali as a director of the Company, effective immediately, to serve as a Class II director until the Company’s 2027 annual meeting of stockholders.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April 2013 to April 2026, Ms. Shomali served as a Strategy Executive at Accenture. In this capacity, she advised senior executives at Fortune 20 companies on enterprise strategy, operating-model development, and large-scale transformation initiatives. Her work included leading corporate strategy programs, supporting product redesign and new-product introduction, guiding market-expansion strategies, and developing automation and efficiency roadmaps across global business units. She also managed and expanded Accenture’s U.S. Software, Platform, and Technology sustainability portfolio. Ms. Shomali earned her M.B.A., with a concentration in finance, from the UCLA Anderson School of Management. She holds dual bachelor’s degrees in Bioengineering and Mathematics from the University of Washington and completed the Sustainable Leadership Development Executive Program at the Yale School of Management.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Ms. Shomali and any other person pursuant to which she was selected as director. Shomali is the niece of Amir Heshmatpour, the Company’s President, Chief Executive Officer and Executive Chairman.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July 2, 2026</w:t>
      </w:r>
      <w:r>
        <w:rPr>
          <w:sz w:val="20"/>
          <w:szCs w:val="20"/>
          <w:color w:val="auto"/>
        </w:rPr>
        <w:tab/>
      </w:r>
      <w:r>
        <w:rPr>
          <w:rFonts w:ascii="Times New Roman" w:cs="Times New Roman" w:eastAsia="Times New Roman" w:hAnsi="Times New Roman"/>
          <w:sz w:val="17"/>
          <w:szCs w:val="17"/>
          <w:b w:val="1"/>
          <w:bCs w:val="1"/>
          <w:color w:val="auto"/>
        </w:rPr>
        <w:t>NeOnc Technologies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Executive Chairman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2026-07-02T16:35:57Z</dcterms:created>
  <dcterms:modified xsi:type="dcterms:W3CDTF">2026-07-02T16:35:57Z</dcterms:modified>
</cp:coreProperties>
</file>