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both"/>
        <w:rPr>
          <w:caps w:val="false"/>
          <w:smallCaps w:val="false"/>
        </w:rPr>
      </w:pPr>
      <w:bookmarkStart w:id="0" w:name="neonctechnologies_424b5.htm"/>
      <w:bookmarkStart w:id="1" w:name="ksneonctechnologies_424b5"/>
      <w:bookmarkEnd w:id="0"/>
      <w:bookmarkEnd w:id="1"/>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333-294845</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April 9,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8125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74295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2,610,715 shares of Common Stock</w:t>
        <w:br/>
        <w:t>960,715 Pre-Funded Warrants to Purchase up to 960,715 shares of Common Stock</w:t>
        <w:br/>
        <w:t>3,571,430 Warrants to Purchase up to 3,571,430 shares of Common Stock</w:t>
        <w:br/>
        <w:t>Up to 4,532,145 shares of Common Stock underlying the Pre-Funded Warrants and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registered direct offering of 2,610,715 shares of our common stock, par value $0.0001 (the “Common Stock”) together with 3,571,430 warrants to purchase up to an aggregate of 3,571,430 shares of Common Stock (the “Warrants”) at a combined offering price of $4.20 per share and accompanying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and the Warrants will be issued separately and will be immediately separable upon issuance but will be purchased together in this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is being offered together with one Warrant to purchase one share of Common Stock. The Warrants will be immediately exercisable following the issuance date at an exercise price of $4.20 per share and will expire five years from the date of issuance.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960,715 pre-funded warrants (the “pre-funded warrants”) to those purchasers, whose purchase of shares of Common Stock in this offering would result in the purchaser, together with its affiliates and certain related parties, beneficially owning more than 4.99% (or, at the election of the purchaser, 9.99%) of our outstanding Common Stock following the consummation of this offering in lieu of the shares of our Common Stock that would result in ownership in excess of 4.99% (or, at the election of the purchaser, 9.99%). Each pre-funded warrant will be exercisable for one share of Common Stock at an exercise price of $0.0001 per share. Each pre-funded warrant is being offered together with the same Warrant to purchase one share of Common Stock described above being offered with each share of Common Stock. The combined offering price of each pre-funded warrant and accompanying Warrant will equal the offering price per share of Common Stock and accompanying Warrant being sold in this offering, less the $0.0001 per share exercise price of each such pre-funded warrant. Each pre-funded warrant will be exercisable immediately upon issuance and may be exercised at any time until exercised in full. The pre-funded warrants and Warrants will be separately issued but will be purchased together in this offering. For each pre-funded warrant that we sell, the number of shares of Common Stock that we are selling will be decreased on a one-for-one basis. This prospectus also covers the shares of Common Stock issuable from time to time upon the exercise of the pre-funded warrants and Warrants included alongside the Common Stock and pre-funded warrants offered hereby.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pre-funded warrants or Warrants, and we do not expect a market to develop. We do not intend to apply for listing of the pre-funded warrants or Warrants on any securities exchange or other nationally recognized trading system. Without an active trading market, the liquidity of the pre-funded warrants and Warrants will be limited.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(“Nasdaq”) under the symbol “NTHI”. On September 8, 2026, the last reported sale price of our Common Stock on Nasdaq was $4.07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intend to use the net proceeds of this offering for general corporate purposes and working capital and to redeem the Series A Convertible Preferred Stock. See “</w:t>
      </w:r>
      <w:r>
        <w:rPr>
          <w:rFonts w:ascii="Times New Roman;Times;Serif" w:hAnsi="Times New Roman;Times;Serif"/>
          <w:b w:val="false"/>
          <w:i/>
          <w:caps w:val="false"/>
          <w:smallCaps w:val="false"/>
          <w:sz w:val="20"/>
          <w:shd w:fill="FFFFFF" w:val="clear"/>
        </w:rPr>
        <w:t>Prospectus Supplement Summary – Use of Proceeds</w:t>
      </w:r>
      <w:r>
        <w:rPr>
          <w:rFonts w:ascii="Times New Roman;Times;Serif" w:hAnsi="Times New Roman;Times;Serif"/>
          <w:b w:val="false"/>
          <w:i w:val="false"/>
          <w:caps w:val="false"/>
          <w:smallCaps w:val="false"/>
          <w:sz w:val="20"/>
          <w:shd w:fill="FFFFFF" w:val="clear"/>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Roth Capital Partners, LLC and A.G.P/Alliance Global Partners to act as placement agents (the “placement agents”) in connection with the securities offered by this prospectus supplement and the accompanying prospectus. The placement agents have agreed to use their reasonable best efforts to arrange for the sale of the securities offered in this offering. The placement agents are not purchasing or selling any of the securities we are offering, and the placement agents are not required to arrange the purchase or sale of any specific number of securities or dollar amount. There is no required minimum number of securities that must be sold as a condition to completion of this offering, and there are no arrangements to place the funds in an escrow, trust, or similar account. We have agreed to pay the placement agents the placement agent fee as set forth in the table below.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S-19 of this prospectus supplement for more information regarding these arrangements.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the accompanying prospectus and the documents incorporated by reference herein and therein, together with additional information described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any amendments or supplements carefully before you invest in any of our securities.</w:t>
      </w:r>
    </w:p>
    <w:p>
      <w:pPr>
        <w:pStyle w:val="TextBody"/>
        <w:bidi w:val="0"/>
        <w:spacing w:before="0" w:after="0"/>
        <w:jc w:val="both"/>
        <w:rPr>
          <w:caps w:val="false"/>
          <w:smallCaps w:val="false"/>
        </w:rPr>
      </w:pPr>
      <w:r>
        <w:rPr>
          <w:caps w:val="false"/>
          <w:smallCaps w:val="false"/>
        </w:rPr>
        <w:t> </w:t>
      </w:r>
    </w:p>
    <w:tbl>
      <w:tblPr>
        <w:tblW w:w="8528" w:type="dxa"/>
        <w:jc w:val="left"/>
        <w:tblInd w:w="0" w:type="dxa"/>
        <w:tblLayout w:type="fixed"/>
        <w:tblCellMar>
          <w:top w:w="0" w:type="dxa"/>
          <w:left w:w="0" w:type="dxa"/>
          <w:bottom w:w="0" w:type="dxa"/>
          <w:right w:w="0" w:type="dxa"/>
        </w:tblCellMar>
      </w:tblPr>
      <w:tblGrid>
        <w:gridCol w:w="3095"/>
        <w:gridCol w:w="60"/>
        <w:gridCol w:w="221"/>
        <w:gridCol w:w="1268"/>
        <w:gridCol w:w="60"/>
        <w:gridCol w:w="60"/>
        <w:gridCol w:w="397"/>
        <w:gridCol w:w="1932"/>
        <w:gridCol w:w="60"/>
        <w:gridCol w:w="60"/>
        <w:gridCol w:w="140"/>
        <w:gridCol w:w="1100"/>
        <w:gridCol w:w="75"/>
      </w:tblGrid>
      <w:tr>
        <w:trPr/>
        <w:tc>
          <w:tcPr>
            <w:tcW w:w="309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 Share and</w:t>
              <w:br/>
              <w:t>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w:t>
              <w:br/>
              <w:t>Pre-Funded</w:t>
              <w:br/>
              <w:t>Warrant and 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r>
              <w:rPr>
                <w:b/>
                <w:position w:val="7"/>
                <w:sz w:val="16"/>
                <w:sz w:val="20"/>
              </w:rPr>
              <w:t>(1)</w:t>
            </w:r>
          </w:p>
        </w:tc>
        <w:tc>
          <w:tcPr>
            <w:tcW w:w="75" w:type="dxa"/>
            <w:tcBorders/>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pPr>
            <w:r>
              <w:rPr/>
              <w:t>Offering price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268" w:type="dxa"/>
            <w:tcBorders/>
            <w:shd w:fill="CCEEFF" w:val="clear"/>
            <w:vAlign w:val="center"/>
          </w:tcPr>
          <w:p>
            <w:pPr>
              <w:pStyle w:val="TableContents"/>
              <w:bidi w:val="0"/>
              <w:spacing w:before="0" w:after="283"/>
              <w:jc w:val="right"/>
              <w:rPr/>
            </w:pPr>
            <w:r>
              <w:rPr/>
              <w:t>4.20000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932" w:type="dxa"/>
            <w:tcBorders/>
            <w:shd w:fill="CCEEFF" w:val="clear"/>
            <w:vAlign w:val="center"/>
          </w:tcPr>
          <w:p>
            <w:pPr>
              <w:pStyle w:val="TableContents"/>
              <w:bidi w:val="0"/>
              <w:spacing w:before="0" w:after="283"/>
              <w:jc w:val="right"/>
              <w:rPr/>
            </w:pPr>
            <w:r>
              <w:rPr/>
              <w:t>4.1999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14,999,910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shd w:fill="FFFFFF" w:val="clear"/>
            <w:vAlign w:val="center"/>
          </w:tcPr>
          <w:p>
            <w:pPr>
              <w:pStyle w:val="TableContents"/>
              <w:bidi w:val="0"/>
              <w:spacing w:before="0" w:after="283"/>
              <w:jc w:val="left"/>
              <w:rPr>
                <w:sz w:val="20"/>
              </w:rPr>
            </w:pPr>
            <w:r>
              <w:rPr>
                <w:sz w:val="20"/>
              </w:rPr>
              <w:t>Placement agent fees (7.0%)</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68" w:type="dxa"/>
            <w:tcBorders>
              <w:bottom w:val="single" w:sz="8" w:space="0" w:color="000000"/>
            </w:tcBorders>
            <w:shd w:fill="FFFFFF" w:val="clear"/>
            <w:tcMar>
              <w:bottom w:w="28" w:type="dxa"/>
            </w:tcMar>
            <w:vAlign w:val="center"/>
          </w:tcPr>
          <w:p>
            <w:pPr>
              <w:pStyle w:val="TableContents"/>
              <w:bidi w:val="0"/>
              <w:spacing w:before="0" w:after="283"/>
              <w:jc w:val="right"/>
              <w:rPr/>
            </w:pPr>
            <w:r>
              <w:rPr/>
              <w:t>0.29400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932" w:type="dxa"/>
            <w:tcBorders>
              <w:bottom w:val="single" w:sz="8" w:space="0" w:color="000000"/>
            </w:tcBorders>
            <w:shd w:fill="FFFFFF" w:val="clear"/>
            <w:tcMar>
              <w:bottom w:w="28" w:type="dxa"/>
            </w:tcMar>
            <w:vAlign w:val="center"/>
          </w:tcPr>
          <w:p>
            <w:pPr>
              <w:pStyle w:val="TableContents"/>
              <w:bidi w:val="0"/>
              <w:spacing w:before="0" w:after="283"/>
              <w:jc w:val="right"/>
              <w:rPr/>
            </w:pPr>
            <w:r>
              <w:rPr/>
              <w:t>0.2940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1,049,994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pPr>
            <w:r>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268" w:type="dxa"/>
            <w:tcBorders/>
            <w:shd w:fill="CCEEFF" w:val="clear"/>
            <w:vAlign w:val="center"/>
          </w:tcPr>
          <w:p>
            <w:pPr>
              <w:pStyle w:val="TableContents"/>
              <w:bidi w:val="0"/>
              <w:spacing w:before="0" w:after="283"/>
              <w:jc w:val="right"/>
              <w:rPr/>
            </w:pPr>
            <w:r>
              <w:rPr/>
              <w:t>3.90600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932" w:type="dxa"/>
            <w:tcBorders/>
            <w:shd w:fill="CCEEFF" w:val="clear"/>
            <w:vAlign w:val="center"/>
          </w:tcPr>
          <w:p>
            <w:pPr>
              <w:pStyle w:val="TableContents"/>
              <w:bidi w:val="0"/>
              <w:spacing w:before="0" w:after="283"/>
              <w:jc w:val="right"/>
              <w:rPr/>
            </w:pPr>
            <w:r>
              <w:rPr/>
              <w:t>3.9059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13,949,916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the pre-funded warrants issued at closing.</w:t>
            </w:r>
          </w:p>
        </w:tc>
      </w:tr>
      <w:tr>
        <w:trPr/>
        <w:tc>
          <w:tcPr>
            <w:tcW w:w="2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position w:val="7"/>
                <w:sz w:val="16"/>
                <w:sz w:val="20"/>
              </w:rPr>
              <w:t>(2)</w:t>
            </w:r>
            <w:r>
              <w:rPr>
                <w:rFonts w:ascii="Times New Roman;Times;Serif" w:hAnsi="Times New Roman;Times;Serif"/>
                <w:sz w:val="20"/>
              </w:rPr>
              <w:t> </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addition, we have agreed to reimburse the placement agents for certain out-of-pocket expenses. See “</w:t>
            </w:r>
            <w:r>
              <w:rPr>
                <w:rFonts w:ascii="Times New Roman;Times;Serif" w:hAnsi="Times New Roman;Times;Serif"/>
                <w:i/>
                <w:sz w:val="20"/>
              </w:rPr>
              <w:t>Plan of Distribution</w:t>
            </w:r>
            <w:r>
              <w:rPr>
                <w:rFonts w:ascii="Times New Roman;Times;Serif" w:hAnsi="Times New Roman;Times;Serif"/>
                <w:sz w:val="20"/>
              </w:rPr>
              <w:t>” beginning on page S-19 of this prospectus supplement for additional information with respect to the compensation we will pay and expenses we will reimburse to the placement agents in connection with this offering.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our Common Stock involves risks. See the section entitled “Risk Factors” on page S-6 of this prospectus supplement and the risk factors contained in the documents incorporated by reference in this prospectus supplement and the accompanying prospectus for a discussion of certain factors which should be considered before investing in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Delivery of the shares of Common Stock and any pre-funded warrants and Warrants is expected to be made on or about </w:t>
      </w:r>
      <w:r>
        <w:rPr>
          <w:rFonts w:ascii="Times New Roman;Times;Serif" w:hAnsi="Times New Roman;Times;Serif"/>
          <w:b w:val="false"/>
          <w:i w:val="false"/>
          <w:caps w:val="false"/>
          <w:smallCaps w:val="false"/>
          <w:sz w:val="20"/>
          <w:shd w:fill="FFFFFF" w:val="clear"/>
        </w:rPr>
        <w:t>September</w:t>
      </w:r>
      <w:r>
        <w:rPr>
          <w:rFonts w:ascii="Times New Roman;Times;Serif" w:hAnsi="Times New Roman;Times;Serif"/>
          <w:b w:val="false"/>
          <w:i w:val="false"/>
          <w:caps w:val="false"/>
          <w:smallCaps w:val="false"/>
          <w:sz w:val="20"/>
        </w:rPr>
        <w:t xml:space="preserve"> 10, 2025, subject to the satisfaction of certain conditions.</w:t>
      </w:r>
    </w:p>
    <w:p>
      <w:pPr>
        <w:pStyle w:val="TextBody"/>
        <w:bidi w:val="0"/>
        <w:spacing w:before="0" w:after="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2300"/>
        <w:gridCol w:w="60"/>
        <w:gridCol w:w="725"/>
      </w:tblGrid>
      <w:tr>
        <w:trPr/>
        <w:tc>
          <w:tcPr>
            <w:tcW w:w="2300" w:type="dxa"/>
            <w:tcBorders/>
            <w:vAlign w:val="center"/>
          </w:tcPr>
          <w:p>
            <w:pPr>
              <w:pStyle w:val="TableContents"/>
              <w:bidi w:val="0"/>
              <w:spacing w:before="0" w:after="283"/>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Roth Capital Partners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5" w:type="dxa"/>
            <w:tcBorders/>
            <w:vAlign w:val="center"/>
          </w:tcPr>
          <w:p>
            <w:pPr>
              <w:pStyle w:val="TableContents"/>
              <w:bidi w:val="0"/>
              <w:spacing w:before="0" w:after="283"/>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A.G.P.</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September 8,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jc w:val="both"/>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8345"/>
        <w:gridCol w:w="60"/>
        <w:gridCol w:w="455"/>
      </w:tblGrid>
      <w:tr>
        <w:trPr/>
        <w:tc>
          <w:tcPr>
            <w:tcW w:w="8345"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345" w:type="dxa"/>
            <w:tcBorders/>
            <w:shd w:fill="CCEEFF" w:val="clear"/>
            <w:vAlign w:val="center"/>
          </w:tcPr>
          <w:p>
            <w:pPr>
              <w:pStyle w:val="TableContents"/>
              <w:bidi w:val="0"/>
              <w:spacing w:before="0" w:after="283"/>
              <w:jc w:val="both"/>
              <w:rPr/>
            </w:pPr>
            <w:hyperlink w:anchor="sp_001">
              <w:r>
                <w:rPr>
                  <w:rStyle w:val="InternetLink"/>
                  <w:rFonts w:ascii="Times New Roman;Times;Serif" w:hAnsi="Times New Roman;Times;Serif"/>
                  <w:b w:val="false"/>
                  <w:i w:val="false"/>
                  <w:caps w:val="false"/>
                  <w:smallCaps w:val="false"/>
                  <w:sz w:val="20"/>
                </w:rPr>
                <w:t>About This Prospectus Supplement</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S-ii</w:t>
            </w:r>
          </w:p>
        </w:tc>
      </w:tr>
      <w:tr>
        <w:trPr/>
        <w:tc>
          <w:tcPr>
            <w:tcW w:w="8345" w:type="dxa"/>
            <w:tcBorders/>
            <w:shd w:fill="FFFFFF" w:val="clear"/>
            <w:vAlign w:val="center"/>
          </w:tcPr>
          <w:p>
            <w:pPr>
              <w:pStyle w:val="TableContents"/>
              <w:bidi w:val="0"/>
              <w:spacing w:before="0" w:after="283"/>
              <w:jc w:val="both"/>
              <w:rPr/>
            </w:pPr>
            <w:hyperlink w:anchor="sp_002">
              <w:r>
                <w:rPr>
                  <w:rStyle w:val="InternetLink"/>
                  <w:rFonts w:ascii="Times New Roman;Times;Serif" w:hAnsi="Times New Roman;Times;Serif"/>
                  <w:b w:val="false"/>
                  <w:i w:val="false"/>
                  <w:caps w:val="false"/>
                  <w:smallCaps w:val="false"/>
                  <w:sz w:val="20"/>
                </w:rPr>
                <w:t>Note Concerning Forward-Looking Statements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S-iv</w:t>
            </w:r>
          </w:p>
        </w:tc>
      </w:tr>
      <w:tr>
        <w:trPr/>
        <w:tc>
          <w:tcPr>
            <w:tcW w:w="8345" w:type="dxa"/>
            <w:tcBorders/>
            <w:shd w:fill="CCEEFF" w:val="clear"/>
            <w:vAlign w:val="center"/>
          </w:tcPr>
          <w:p>
            <w:pPr>
              <w:pStyle w:val="TableContents"/>
              <w:bidi w:val="0"/>
              <w:spacing w:before="0" w:after="283"/>
              <w:jc w:val="both"/>
              <w:rPr/>
            </w:pPr>
            <w:hyperlink w:anchor="sp_003">
              <w:r>
                <w:rPr>
                  <w:rStyle w:val="InternetLink"/>
                  <w:rFonts w:ascii="Times New Roman;Times;Serif" w:hAnsi="Times New Roman;Times;Serif"/>
                  <w:b w:val="false"/>
                  <w:i w:val="false"/>
                  <w:caps w:val="false"/>
                  <w:smallCaps w:val="false"/>
                  <w:sz w:val="20"/>
                </w:rPr>
                <w:t>Prospectus Supplement Summary</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8345" w:type="dxa"/>
            <w:tcBorders/>
            <w:shd w:fill="FFFFFF" w:val="clear"/>
            <w:vAlign w:val="center"/>
          </w:tcPr>
          <w:p>
            <w:pPr>
              <w:pStyle w:val="TableContents"/>
              <w:bidi w:val="0"/>
              <w:spacing w:before="0" w:after="283"/>
              <w:jc w:val="both"/>
              <w:rPr/>
            </w:pPr>
            <w:hyperlink w:anchor="sp_004">
              <w:r>
                <w:rPr>
                  <w:rStyle w:val="InternetLink"/>
                  <w:rFonts w:ascii="Times New Roman;Times;Serif" w:hAnsi="Times New Roman;Times;Serif"/>
                  <w:b w:val="false"/>
                  <w:i w:val="false"/>
                  <w:caps w:val="false"/>
                  <w:smallCaps w:val="false"/>
                  <w:sz w:val="20"/>
                </w:rPr>
                <w:t>The Offering</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r>
      <w:tr>
        <w:trPr/>
        <w:tc>
          <w:tcPr>
            <w:tcW w:w="8345" w:type="dxa"/>
            <w:tcBorders/>
            <w:shd w:fill="CCEEFF" w:val="clear"/>
            <w:vAlign w:val="center"/>
          </w:tcPr>
          <w:p>
            <w:pPr>
              <w:pStyle w:val="TableContents"/>
              <w:bidi w:val="0"/>
              <w:spacing w:before="0" w:after="283"/>
              <w:jc w:val="both"/>
              <w:rPr/>
            </w:pPr>
            <w:hyperlink w:anchor="sp_005">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S-6</w:t>
            </w:r>
          </w:p>
        </w:tc>
      </w:tr>
      <w:tr>
        <w:trPr/>
        <w:tc>
          <w:tcPr>
            <w:tcW w:w="8345" w:type="dxa"/>
            <w:tcBorders/>
            <w:shd w:fill="FFFFFF" w:val="clear"/>
            <w:vAlign w:val="center"/>
          </w:tcPr>
          <w:p>
            <w:pPr>
              <w:pStyle w:val="TableContents"/>
              <w:bidi w:val="0"/>
              <w:spacing w:before="0" w:after="283"/>
              <w:jc w:val="both"/>
              <w:rPr/>
            </w:pPr>
            <w:hyperlink w:anchor="sp_006">
              <w:r>
                <w:rPr>
                  <w:rStyle w:val="InternetLink"/>
                  <w:rFonts w:ascii="Times New Roman;Times;Serif" w:hAnsi="Times New Roman;Times;Serif"/>
                  <w:b w:val="false"/>
                  <w:i w:val="false"/>
                  <w:caps w:val="false"/>
                  <w:smallCaps w:val="false"/>
                  <w:sz w:val="20"/>
                </w:rPr>
                <w:t>Use of Proceeds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S-8</w:t>
            </w:r>
          </w:p>
        </w:tc>
      </w:tr>
      <w:tr>
        <w:trPr/>
        <w:tc>
          <w:tcPr>
            <w:tcW w:w="8345" w:type="dxa"/>
            <w:tcBorders/>
            <w:shd w:fill="CCEEFF" w:val="clear"/>
            <w:vAlign w:val="center"/>
          </w:tcPr>
          <w:p>
            <w:pPr>
              <w:pStyle w:val="TableContents"/>
              <w:bidi w:val="0"/>
              <w:spacing w:before="0" w:after="283"/>
              <w:jc w:val="both"/>
              <w:rPr/>
            </w:pPr>
            <w:hyperlink w:anchor="sp_007">
              <w:r>
                <w:rPr>
                  <w:rStyle w:val="InternetLink"/>
                  <w:rFonts w:ascii="Times New Roman;Times;Serif" w:hAnsi="Times New Roman;Times;Serif"/>
                  <w:b w:val="false"/>
                  <w:i w:val="false"/>
                  <w:caps w:val="false"/>
                  <w:smallCaps w:val="false"/>
                  <w:sz w:val="20"/>
                </w:rPr>
                <w:t>Description of Securities We Are Offering</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S-9</w:t>
            </w:r>
          </w:p>
        </w:tc>
      </w:tr>
      <w:tr>
        <w:trPr/>
        <w:tc>
          <w:tcPr>
            <w:tcW w:w="8345" w:type="dxa"/>
            <w:tcBorders/>
            <w:shd w:fill="FFFFFF" w:val="clear"/>
            <w:vAlign w:val="center"/>
          </w:tcPr>
          <w:p>
            <w:pPr>
              <w:pStyle w:val="TableContents"/>
              <w:bidi w:val="0"/>
              <w:spacing w:before="0" w:after="283"/>
              <w:jc w:val="both"/>
              <w:rPr/>
            </w:pPr>
            <w:hyperlink w:anchor="sp_008">
              <w:r>
                <w:rPr>
                  <w:rStyle w:val="InternetLink"/>
                  <w:rFonts w:ascii="Times New Roman;Times;Serif" w:hAnsi="Times New Roman;Times;Serif"/>
                  <w:b w:val="false"/>
                  <w:i w:val="false"/>
                  <w:caps w:val="false"/>
                  <w:smallCaps w:val="false"/>
                  <w:sz w:val="20"/>
                </w:rPr>
                <w:t>Dilution</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S-13</w:t>
            </w:r>
          </w:p>
        </w:tc>
      </w:tr>
      <w:tr>
        <w:trPr/>
        <w:tc>
          <w:tcPr>
            <w:tcW w:w="8345" w:type="dxa"/>
            <w:tcBorders/>
            <w:shd w:fill="CCEEFF" w:val="clear"/>
            <w:vAlign w:val="center"/>
          </w:tcPr>
          <w:p>
            <w:pPr>
              <w:pStyle w:val="TableContents"/>
              <w:bidi w:val="0"/>
              <w:spacing w:before="0" w:after="283"/>
              <w:jc w:val="both"/>
              <w:rPr/>
            </w:pPr>
            <w:hyperlink w:anchor="sp_009">
              <w:r>
                <w:rPr>
                  <w:rStyle w:val="InternetLink"/>
                  <w:rFonts w:ascii="Times New Roman;Times;Serif" w:hAnsi="Times New Roman;Times;Serif"/>
                  <w:b w:val="false"/>
                  <w:i w:val="false"/>
                  <w:caps w:val="false"/>
                  <w:smallCaps w:val="false"/>
                  <w:sz w:val="20"/>
                </w:rPr>
                <w:t>Dividend Policy</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S-14</w:t>
            </w:r>
          </w:p>
        </w:tc>
      </w:tr>
      <w:tr>
        <w:trPr/>
        <w:tc>
          <w:tcPr>
            <w:tcW w:w="8345" w:type="dxa"/>
            <w:tcBorders/>
            <w:shd w:fill="FFFFFF" w:val="clear"/>
            <w:vAlign w:val="center"/>
          </w:tcPr>
          <w:p>
            <w:pPr>
              <w:pStyle w:val="TableContents"/>
              <w:bidi w:val="0"/>
              <w:spacing w:before="0" w:after="283"/>
              <w:jc w:val="both"/>
              <w:rPr/>
            </w:pPr>
            <w:hyperlink w:anchor="sp_010">
              <w:r>
                <w:rPr>
                  <w:rStyle w:val="InternetLink"/>
                  <w:rFonts w:ascii="Times New Roman;Times;Serif" w:hAnsi="Times New Roman;Times;Serif"/>
                  <w:b w:val="false"/>
                  <w:i w:val="false"/>
                  <w:caps w:val="false"/>
                  <w:smallCaps w:val="false"/>
                  <w:sz w:val="20"/>
                </w:rPr>
                <w:t>Material U.S. Federal Income and Estate Tax Consequences to Non-U.S. Holders of our Common Stock</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S-15</w:t>
            </w:r>
          </w:p>
        </w:tc>
      </w:tr>
      <w:tr>
        <w:trPr/>
        <w:tc>
          <w:tcPr>
            <w:tcW w:w="8345" w:type="dxa"/>
            <w:tcBorders/>
            <w:shd w:fill="CCEEFF" w:val="clear"/>
            <w:vAlign w:val="center"/>
          </w:tcPr>
          <w:p>
            <w:pPr>
              <w:pStyle w:val="TableContents"/>
              <w:bidi w:val="0"/>
              <w:spacing w:before="0" w:after="283"/>
              <w:jc w:val="both"/>
              <w:rPr/>
            </w:pPr>
            <w:hyperlink w:anchor="sp_011">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S-19</w:t>
            </w:r>
          </w:p>
        </w:tc>
      </w:tr>
      <w:tr>
        <w:trPr/>
        <w:tc>
          <w:tcPr>
            <w:tcW w:w="8345" w:type="dxa"/>
            <w:tcBorders/>
            <w:shd w:fill="FFFFFF" w:val="clear"/>
            <w:vAlign w:val="center"/>
          </w:tcPr>
          <w:p>
            <w:pPr>
              <w:pStyle w:val="TableContents"/>
              <w:bidi w:val="0"/>
              <w:spacing w:before="0" w:after="283"/>
              <w:jc w:val="both"/>
              <w:rPr/>
            </w:pPr>
            <w:hyperlink w:anchor="sp_012">
              <w:r>
                <w:rPr>
                  <w:rStyle w:val="InternetLink"/>
                  <w:rFonts w:ascii="Times New Roman;Times;Serif" w:hAnsi="Times New Roman;Times;Serif"/>
                  <w:b w:val="false"/>
                  <w:i w:val="false"/>
                  <w:caps w:val="false"/>
                  <w:smallCaps w:val="false"/>
                  <w:sz w:val="20"/>
                </w:rPr>
                <w:t>Legal Matters</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S-22</w:t>
            </w:r>
          </w:p>
        </w:tc>
      </w:tr>
      <w:tr>
        <w:trPr/>
        <w:tc>
          <w:tcPr>
            <w:tcW w:w="8345" w:type="dxa"/>
            <w:tcBorders/>
            <w:shd w:fill="CCEEFF" w:val="clear"/>
            <w:vAlign w:val="center"/>
          </w:tcPr>
          <w:p>
            <w:pPr>
              <w:pStyle w:val="TableContents"/>
              <w:bidi w:val="0"/>
              <w:spacing w:before="0" w:after="283"/>
              <w:jc w:val="both"/>
              <w:rPr/>
            </w:pPr>
            <w:hyperlink w:anchor="sp_013">
              <w:r>
                <w:rPr>
                  <w:rStyle w:val="InternetLink"/>
                  <w:rFonts w:ascii="Times New Roman;Times;Serif" w:hAnsi="Times New Roman;Times;Serif"/>
                  <w:b w:val="false"/>
                  <w:i w:val="false"/>
                  <w:caps w:val="false"/>
                  <w:smallCaps w:val="false"/>
                  <w:sz w:val="20"/>
                </w:rPr>
                <w:t>Experts</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S-22</w:t>
            </w:r>
          </w:p>
        </w:tc>
      </w:tr>
      <w:tr>
        <w:trPr/>
        <w:tc>
          <w:tcPr>
            <w:tcW w:w="8345" w:type="dxa"/>
            <w:tcBorders/>
            <w:shd w:fill="FFFFFF" w:val="clear"/>
            <w:vAlign w:val="center"/>
          </w:tcPr>
          <w:p>
            <w:pPr>
              <w:pStyle w:val="TableContents"/>
              <w:bidi w:val="0"/>
              <w:spacing w:before="0" w:after="283"/>
              <w:jc w:val="both"/>
              <w:rPr/>
            </w:pPr>
            <w:hyperlink w:anchor="sp_014">
              <w:r>
                <w:rPr>
                  <w:rStyle w:val="InternetLink"/>
                  <w:rFonts w:ascii="Times New Roman;Times;Serif" w:hAnsi="Times New Roman;Times;Serif"/>
                  <w:b w:val="false"/>
                  <w:i w:val="false"/>
                  <w:caps w:val="false"/>
                  <w:smallCaps w:val="false"/>
                  <w:sz w:val="20"/>
                </w:rPr>
                <w:t>Incorporation of Certain Information by Reference</w:t>
              </w:r>
            </w:hyperlink>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S-22</w:t>
            </w:r>
          </w:p>
        </w:tc>
      </w:tr>
      <w:tr>
        <w:trPr/>
        <w:tc>
          <w:tcPr>
            <w:tcW w:w="8345" w:type="dxa"/>
            <w:tcBorders/>
            <w:shd w:fill="CCEEFF" w:val="clear"/>
            <w:vAlign w:val="center"/>
          </w:tcPr>
          <w:p>
            <w:pPr>
              <w:pStyle w:val="TableContents"/>
              <w:bidi w:val="0"/>
              <w:spacing w:before="0" w:after="283"/>
              <w:jc w:val="both"/>
              <w:rPr/>
            </w:pPr>
            <w:hyperlink w:anchor="sp_015">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S-24</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5750"/>
        <w:gridCol w:w="60"/>
        <w:gridCol w:w="440"/>
      </w:tblGrid>
      <w:tr>
        <w:trPr/>
        <w:tc>
          <w:tcPr>
            <w:tcW w:w="5750" w:type="dxa"/>
            <w:tcBorders/>
            <w:shd w:fill="FFFFFF" w:val="clear"/>
            <w:vAlign w:val="center"/>
          </w:tcPr>
          <w:p>
            <w:pPr>
              <w:pStyle w:val="TableContents"/>
              <w:bidi w:val="0"/>
              <w:spacing w:before="0" w:after="283"/>
              <w:ind w:left="0" w:right="0" w:hanging="180"/>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440" w:type="dxa"/>
            <w:tcBorders>
              <w:bottom w:val="single" w:sz="8" w:space="0" w:color="000000"/>
            </w:tcBorders>
            <w:shd w:fill="FFFFFF" w:val="clear"/>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75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575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PROSPECTUS SUMMARY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75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75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SPECIAL NOTE REGARDING FORWARD-LOOKING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75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575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575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DESCRIPTION OF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575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DESCRIPTION OF DEBT SECURITIES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575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DESCRIPTION OF WARRANTS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575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DESCRIPTION OF RIGHTS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575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DESCRIPTION OF UNITS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575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575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575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INCORPORATION OF CERTAIN INFORMATION BY REFERENCE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sp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document is part of a registration statement that was filed with the Securities and Exchange Commission (the “SEC”), using a “shelf” registration process and consists of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This prospectus supplement may add, update or change information contained in the accompanying prospectus. If the information contained in this prospectus supplement differs or varies from, or is inconsistent with, the information contained in the accompanying prospectus, or the information contained in any document incorporated by reference that was filed with the SEC before the date of this prospectus supplement, you should rely on the information set forth in this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You should rely only on the information contained or incorporated by reference in this prospectus supplement and the accompanying prospectus. We have not, and the placement agents have not,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prospectuses we have authorized for use in connection with this offering. We and the placement agents take no responsibility for, and can provide no assurance as to the reliability of, any other information that others may provide.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both this prospectus supplement and the accompanying prospectus, as well as the documents incorporated by reference into this prospectus supplement and the accompanying prospectus and the additional information described under “</w:t>
      </w:r>
      <w:r>
        <w:rPr>
          <w:rFonts w:ascii="Times New Roman;Times;Serif" w:hAnsi="Times New Roman;Times;Serif"/>
          <w:b w:val="false"/>
          <w:i/>
          <w:caps w:val="false"/>
          <w:smallCaps w:val="false"/>
          <w:sz w:val="20"/>
          <w:shd w:fill="FFFFFF" w:val="clear"/>
        </w:rPr>
        <w:t>Where You Can Find More Information</w:t>
      </w:r>
      <w:r>
        <w:rPr>
          <w:rFonts w:ascii="Times New Roman;Times;Serif" w:hAnsi="Times New Roman;Times;Serif"/>
          <w:b w:val="false"/>
          <w:i w:val="false"/>
          <w:caps w:val="false"/>
          <w:smallCaps w:val="false"/>
          <w:sz w:val="20"/>
          <w:shd w:fill="FFFFFF" w:val="clear"/>
        </w:rPr>
        <w:t>” in this prospectus supplement and in the accompanying prospectus before investing in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further note that the representations, warranties, and covenants made by us in any agreement that is filed as an exhibit to any document that is incorporated by reference in this prospectus supplement and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We use various trademarks and trade names in our business, including without limitation our corporate name and logo. All other trademarks or trade names referred to in this prospectus supplement and the accompanying prospectus and the documents incorporated by reference herein or therein are the property of their respective owners. Solely for convenience, the trademarks and trade names in this prospectus supplement and the accompanying prospectus and the documents incorporated by reference herein or therein may be referred to without the </w:t>
      </w:r>
      <w:r>
        <w:rPr>
          <w:rFonts w:ascii="Times New Roman;Times;Serif" w:hAnsi="Times New Roman;Times;Serif"/>
          <w:b w:val="false"/>
          <w:i w:val="false"/>
          <w:caps w:val="false"/>
          <w:smallCaps w:val="false"/>
          <w:position w:val="7"/>
          <w:sz w:val="16"/>
          <w:sz w:val="20"/>
          <w:shd w:fill="FFFFFF" w:val="clear"/>
        </w:rPr>
        <w:t>®</w:t>
      </w:r>
      <w:r>
        <w:rPr>
          <w:rFonts w:ascii="Times New Roman;Times;Serif" w:hAnsi="Times New Roman;Times;Serif"/>
          <w:b w:val="false"/>
          <w:i w:val="false"/>
          <w:caps w:val="false"/>
          <w:smallCaps w:val="false"/>
          <w:sz w:val="20"/>
          <w:shd w:fill="FFFFFF" w:val="clear"/>
        </w:rPr>
        <w:t xml:space="preserve"> and ™ symbols, but such references should not be construed as any indicator that their respective owners will not assert, to the fullest extent under applicable law, their rights thereto.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consider this prospectus supplement or the accompanying prospectus to be an offer or solicitation relating to the securities in any jurisdiction in which such an offer or solicitation relating to the securities is not authorized.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or the accompanying prospectus supplement by any person in any jurisdiction if the person making the offer or solicitation is not qualified to do so, or if it is unlawful for you to receive such an offer or solicitation.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Unless otherwise indicated, information contained in or incorporated by reference into this prospectus supplement and the accompanying prospectus concerning our business and the industry and markets in which we operate, including with respect to our business prospects, our market position and opportunity, and the competitive landscape, is based on information from our management’s estimates, as well as from industry publications, surveys and studies conducted by third parties. Our management’s estimates are derived from publicly available information, their knowledge of our business and industry, and assumptions based on such information and knowledge, which they believe to be reasonable. In addition, while we believe that information contained in the industry publications, surveys and studies has been obtained from reliable sources, we have not independently verified any of the data contained in these third-party sources, and the accuracy and completeness of the information contained in these sources is not guaranteed.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the context otherwise requires or where otherwise indicated, the terms “we,” “us,” “our,” “NeOnc,” and “the Company” refer to NeOnc Technologies Holdings, Inc., a Delaware corporation, and its consolidated subsidiaries.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sp_002"/>
      <w:bookmarkEnd w:id="3"/>
      <w:r>
        <w:rPr>
          <w:rFonts w:ascii="Times New Roman;Times;Serif" w:hAnsi="Times New Roman;Times;Serif"/>
          <w:b/>
          <w:i w:val="false"/>
          <w:caps w:val="false"/>
          <w:smallCaps w:val="false"/>
          <w:sz w:val="20"/>
        </w:rPr>
        <w:t>NOTE CONCERNING FORWARD-LOOKING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documents incorporated by reference herein include forward-looking statements that involve risks and uncertainties within the meaning of the Private Securities Litigation Reform Act of 1995. Other than statements of historical fact, all statements made in this prospectus supplement and in the documents incorporated by reference herein are forward-looking, including, but not limited to (a) our projected sales, profitability, and cash flows, (b) our growth strategies, (c) anticipated trends in our industry, (d) our future financing plans and (e) our anticipated needs for working capital. They are generally identifiable by use of the words “may,” “will,” “should,” “anticipate,” “estimate,” “plans,” “potential,” “projects,” “continuing,” “ongoing,” “expects,” “management believes,” “we believe,” “we intend” or the negative of these words or other variations on these words or comparable terminology. Forward-looking statements involve risks and uncertainties that are inherently difficult to predict, which could cause actual outcomes and results to differ materially from our expectations, forecasts and assumptions. The following important factors, among others, could affect our future results and could cause those results to differ materially from those expressed in such forward-looking statements:</w:t>
      </w:r>
    </w:p>
    <w:p>
      <w:pPr>
        <w:pStyle w:val="TextBody"/>
        <w:bidi w:val="0"/>
        <w:spacing w:before="0" w:after="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conditions and results of operations fluctuations in interest rates;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demand for and market acceptance of our products and services;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projections of revenue, earnings, capital structure and other financial items;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relevant government policies and regulations relating to our industry;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business conditions in the markets in which we operate.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 all of our forward-looking statements in this prospectus supplement may turn out to be inaccurate. They can be affected by inaccurate assumptions we might make or by known or unknown risks or uncertainties. Consequently, no forward-looking statement can be guaranteed. Actual future results may vary materially as a result of various factors, including, without limitation, the risks outlined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incorporated by reference into this prospectus supplement. In light of these risks and uncertainties, there can be no assurance that the forward-looking statements contained in this filing will in fact occur. You should not place undue reliance on these forward-looking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no obligation to update forward-looking statements to reflect subsequent events, changed circumstances or the occurrence of unanticipated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S-iv</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5" w:color="000000"/>
        </w:rPr>
      </w:pPr>
      <w:bookmarkStart w:id="4" w:name="sp_003"/>
      <w:bookmarkEnd w:id="4"/>
      <w:r>
        <w:rPr>
          <w:rFonts w:ascii="Times New Roman;Times;Serif" w:hAnsi="Times New Roman;Times;Serif"/>
          <w:b/>
          <w:i w:val="false"/>
          <w:caps w:val="false"/>
          <w:smallCaps w:val="false"/>
          <w:sz w:val="20"/>
          <w:bdr w:val="single" w:sz="8" w:space="5" w:color="000000"/>
        </w:rPr>
        <w:t>PROSPECTUS SUPPLEMENT SUMMARY</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Business</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following summary of our business highlights some of the information contained elsewhere in or incorporated by reference into this prospectus supplement or the accompanying prospectus. Because this is only a summary, it does not contain all of the information that may be important to you. You should carefully read this prospectus supplement and the accompanying prospectus, including the documents incorporated by reference herein and therein, which are identified under “</w:t>
      </w:r>
      <w:r>
        <w:rPr>
          <w:rFonts w:ascii="Times New Roman;Times;Serif" w:hAnsi="Times New Roman;Times;Serif"/>
          <w:b w:val="false"/>
          <w:i/>
          <w:caps w:val="false"/>
          <w:smallCaps w:val="false"/>
          <w:sz w:val="20"/>
          <w:bdr w:val="single" w:sz="8" w:space="5" w:color="000000"/>
        </w:rPr>
        <w:t>Incorporation of Certain Information by Reference</w:t>
      </w:r>
      <w:r>
        <w:rPr>
          <w:rFonts w:ascii="Times New Roman;Times;Serif" w:hAnsi="Times New Roman;Times;Serif"/>
          <w:b w:val="false"/>
          <w:i w:val="false"/>
          <w:caps w:val="false"/>
          <w:smallCaps w:val="false"/>
          <w:sz w:val="20"/>
          <w:bdr w:val="single" w:sz="8" w:space="5" w:color="000000"/>
        </w:rPr>
        <w:t>” in this prospectus supplement and under “</w:t>
      </w:r>
      <w:r>
        <w:rPr>
          <w:rFonts w:ascii="Times New Roman;Times;Serif" w:hAnsi="Times New Roman;Times;Serif"/>
          <w:b w:val="false"/>
          <w:i/>
          <w:caps w:val="false"/>
          <w:smallCaps w:val="false"/>
          <w:sz w:val="20"/>
          <w:bdr w:val="single" w:sz="8" w:space="5" w:color="000000"/>
        </w:rPr>
        <w:t>Incorporation of Certain Information by Reference</w:t>
      </w:r>
      <w:r>
        <w:rPr>
          <w:rFonts w:ascii="Times New Roman;Times;Serif" w:hAnsi="Times New Roman;Times;Serif"/>
          <w:b w:val="false"/>
          <w:i w:val="false"/>
          <w:caps w:val="false"/>
          <w:smallCaps w:val="false"/>
          <w:sz w:val="20"/>
          <w:bdr w:val="single" w:sz="8" w:space="5" w:color="000000"/>
        </w:rPr>
        <w:t>” in the accompanying prospectus. You should also carefully consider the matters discussed in the section in this prospectus supplement entitled “</w:t>
      </w:r>
      <w:r>
        <w:rPr>
          <w:rFonts w:ascii="Times New Roman;Times;Serif" w:hAnsi="Times New Roman;Times;Serif"/>
          <w:b w:val="false"/>
          <w:i/>
          <w:caps w:val="false"/>
          <w:smallCaps w:val="false"/>
          <w:sz w:val="20"/>
          <w:bdr w:val="single" w:sz="8" w:space="5" w:color="000000"/>
        </w:rPr>
        <w:t>Risk Factors</w:t>
      </w:r>
      <w:r>
        <w:rPr>
          <w:rFonts w:ascii="Times New Roman;Times;Serif" w:hAnsi="Times New Roman;Times;Serif"/>
          <w:b w:val="false"/>
          <w:i w:val="false"/>
          <w:caps w:val="false"/>
          <w:smallCaps w:val="false"/>
          <w:sz w:val="20"/>
          <w:bdr w:val="single" w:sz="8" w:space="5" w:color="000000"/>
        </w:rPr>
        <w:t>” and in the accompanying prospectus, in our Annual Report on Form 10-K for the year ended December 31, 2025 and in other documents incorporated herein by reference.</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About NeOnc Technologies Holdings, Inc.</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company (f/k/a NAS-ONC, Inc.) was formed in 2008, devoted to developing new drugs with new delivery modes. As a clinical-stage biopharmaceutical company, we have focused on establishing treatments for intracranial malignancies, i.e., aggressive cancers located in the brain. These cancer types include primary brain cancers, such as glioblastoma, and secondary brain cancers, that have arrived through metastatic spread from other cancers throughout the body, such as melanoma or breast and lung cancer. Brain-localized malignancies are particularly difficult to treat because the blood-brain barrier prevents efficient entry of most pharmacotherapeutic agents into the brain. As a result, these patients are faced with poor prognoses and shortened average life expectancy. NeOnc is developing novel drug delivery methods to be used in combination with novel drug candidates.</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NeOnc has two lead products in development: NEO100 and NEO212. NEO100 is a purified form of perillyl alcohol (“POH”) which is administered to brain cancer patients via intranasal delivery. Ongoing activities for intranasal delivery of NEO100:</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completed human testing in a Phase I clinical trial and are currently conducting a Phase IIa trial with recurrent malignant glioma (Grade IV, IDH1 mutant and Grade III Astrocytoma, IDH1 mutant) patients.</w:t>
            </w:r>
          </w:p>
        </w:tc>
      </w:tr>
    </w:tbl>
    <w:p>
      <w:pPr>
        <w:pStyle w:val="TextBody"/>
        <w:bidi w:val="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similar Phase IIa trial of intranasal NEO100 (NEO 100-02) for patients with malignant skull-based meningioma is also ongoing. Meningiomas are slow-growing tumors originating in the meninges, the membranous layers surrounding the brain and spinal cord. We initiated this because these patients lack effective treatment options. These tumors are notoriously difficult to access, and conventional methods like surgery often lead to significant neurological deficits. Additionally, radiation therapy has shown limited effectiveness. The trial was officially launched in July 2023. As NEO100 uses the same treatment platform as the malignant gliomas, we bypassed the Phase I trial and received FDA approval for a Phase II trial within just 30 days.</w:t>
            </w:r>
          </w:p>
        </w:tc>
      </w:tr>
    </w:tbl>
    <w:p>
      <w:pPr>
        <w:pStyle w:val="TextBody"/>
        <w:bidi w:val="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this single-drug application, NEO100 is further being investigated as a drug delivery vehicle, where the results of NeOnc’s preclinical studies suggest evidence that the combination of NEO100 with other drugs may enable a patient’s improved brain tumor delivery via the intranasal route. Intranasal NEO100, mixed with levodopa (L-DOPA), is in the planning stages for a clinical trial in patients with Parkinson’s disease (PD). NeOnc’s laboratory experiments showed that intranasal NEO100 mixed with levodopa was able to reverse PD symptoms in mice. A Phase I clinical trial is planned to study the impact on human patients.</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initial application for the Phase I/IIa trial for NEO 100 focused on an enrollment population with recurrent glioblastoma. Based on our Phase I results, NEO 100 showed more promise in patients with IDH1,2 mutant Grade IV astrocytomas. However, this patient population represented less than 5-10 percent of all patients with recurrent glioblastoma. As we planned for a total of 31 patients for Phase IIa in our initial analysis, enrollment of recurrent Grade IV, IDH1,2 mutants was limited due to the fact that only 5-10 percent of Grade IV astrocytomas have IDH1,2 mutations. Independent biostatistical review of clinical progression patterns of recurrent IDH1,2 mutated Grade III astrocytomas compared to recurrent IDH1,2 mutated Grade IV astrocytomas revealed that these two tumors have the same prognosis. As a result, in June 2023 we requested that the FDA not object to the inclusion of patients with recurrent Grade III IDH1,2 mutant astrocytomas in the Phase IIa trial. The FDA did not object and, as a result, the population of patients available to be enrolled is now much larger. Because the prognosis of recurrent Grade III IDH1,2 mutants is similar to recurrent IDH1,2 Grade IV astrocytomas, the number of patients needed to be enrolled in the Phase IIa trial to assess the clinical efficacy of NEO100 in the population of high grade astrocytomas did not change. The expanded patient population means that there are a significant number of additional patients that can be targeted for potential enrollment in the Phase IIa study; in an initial review, we have identified approximately 80 grade III IDH1,2 mutation-positive candidates. Patients with residual measurable disease are now followed via MRI scans to determine if there is progression, (recurrent disease), making them eligible for enrollment. We believe this focused enrollment strategy for Grade III and IV IDH1/2-mutant patients has the potential to support a more efficient trial process. Based on our current planning assumptions, we believe a Phase II data readout for NEO100 may be achievable by the end of 2026.</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second lead product, NEO212, a covalently conjugated molecule combining the chemotherapeutic drug temozolomide with perillyl alcohol, has completed preclinical testing and has received investigational new drug (IND) approval from the United States Food and Drug Administration (FDA), i.e., it has been authorized to proceed to clinical testing in cancer patients. We have designed a Phase I/II trial for oral NEO212, which began in the fourth quarter of 2023. In this trial, NEO212 will be administered orally to patients with primary brain tumors (i.e., malignant gliomas) and secondary brain tumors (i.e., brain metastases derived from peripheral tumors, such as tumors of the lung, breast, skin/melanoma, etc.). Furthermore, NEO212 is undergoing development towards intranasal application specifically for patients with uncontrolled brain metastases derived from peripheral tumors (lung, breast, skin, etc.), but has not yet been studied in human patients.</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Currently, none of our product candidates have been approved for sale in the United States or elsewhere. We have no commercial products nor do we have a sales or marketing infrastructure. In order to market and sell our products we must conduct clinical trials on patients and obtain regulatory approvals from appropriate regulatory agencies, like the FDA in the United States, and similar organizations elsewhere in the world.</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have not generated any revenue from product sales and from January 1, 2023 to June 30, 2026 have only generated revenue of $0. We do not anticipate generating significant revenues for the foreseeable future. We had net loss of $23,059,976 and $38,006,186 for the six months ended June 30, 2026 and 2025, respectively. At June 30, 2026, we had an accumulated deficit of $135,814,631.</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Implications of Being an “Emerging Growth Company”</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an “emerging growth company” as defined under the federal securities laws. For so long as we remain an emerging growth company, we are permitted to rely on exemptions from specified disclosure requirements that are applicable to other public companies that are not emerging growth companies. These exemptions include the following:</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comply with the auditor attestation requirements in the assessment of our internal controls over financial reporting;</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regarding executive compensation;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of holding a nonbinding advisory vote on executive compensation and shareholder approval of any golden parachute payments not previously approved.</w:t>
            </w:r>
          </w:p>
        </w:tc>
      </w:tr>
    </w:tbl>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An emerging growth company may delay the adoption of certain accounting standards until those standards would otherwise apply to private companies. We have irrevocably elected not to take advantage of the extended transition period for complying with new or revised accounting standards provided to emerging growth companies.</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will remain an emerging growth company until the earliest of (i) the last day of the fiscal year following the fifth anniversary of the completion of our direct listing, (ii) the last day of the first fiscal year in which our annual gross revenues exceed $1.235 billion, (iii) the date on which we have, during the immediately preceding three-year period, issued more than $1.0 billion in non-convertible debt securities and (iv) the end of any fiscal year in which the market value of our Common Stock held by non-affiliates exceeds $700 million as of the end of the second quarter of that fiscal year.</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Implications of Being a Smaller Reporting Company</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held by non-affiliates equals or exceeds $250 million as of the prior June 30th, or (2) our annual revenues equaled or exceeded $100 million during such completed fiscal year and the market value of our shares held by non-affiliates equals or exceeds $700 million as of the prior June 30th. Such reduced disclosure and corporate governance obligations may make it more challenging for investors to analyze our results of operations and financial prospects.</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Corporate Information</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Our principal executive office is located at 23975 Park Sorrento, Suite 205, Calabasas, CA 91302, and our telephone number is (310) 663-7831. We maintain a website at </w:t>
      </w:r>
      <w:r>
        <w:rPr>
          <w:rFonts w:ascii="Times New Roman;Times;Serif" w:hAnsi="Times New Roman;Times;Serif"/>
          <w:b w:val="false"/>
          <w:i/>
          <w:caps w:val="false"/>
          <w:smallCaps w:val="false"/>
          <w:sz w:val="20"/>
          <w:bdr w:val="single" w:sz="8" w:space="5" w:color="000000"/>
        </w:rPr>
        <w:t>www.neonc.com/</w:t>
      </w:r>
      <w:r>
        <w:rPr>
          <w:rFonts w:ascii="Times New Roman;Times;Serif" w:hAnsi="Times New Roman;Times;Serif"/>
          <w:b w:val="false"/>
          <w:i w:val="false"/>
          <w:caps w:val="false"/>
          <w:smallCaps w:val="false"/>
          <w:sz w:val="20"/>
          <w:bdr w:val="single" w:sz="8" w:space="5" w:color="000000"/>
        </w:rPr>
        <w:t>. Information available on our website is not incorporated by reference in and is not deemed a part of this prospectus supplement.</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Other Information</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For a complete description of our business, financial condition, results of operations and other important information, we refer you to our filings with the SEC that are incorporated by reference in this prospectus supplement, including our Annual Report on Form 10-K for the year ended December 31, 2025. For instructions on how to find copies of these documents, please see the section titled “</w:t>
      </w:r>
      <w:r>
        <w:rPr>
          <w:rFonts w:ascii="Times New Roman;Times;Serif" w:hAnsi="Times New Roman;Times;Serif"/>
          <w:b w:val="false"/>
          <w:i/>
          <w:caps w:val="false"/>
          <w:smallCaps w:val="false"/>
          <w:sz w:val="20"/>
          <w:bdr w:val="single" w:sz="8" w:space="5" w:color="000000"/>
        </w:rPr>
        <w:t>Incorporation of Certain Information by Reference</w:t>
      </w:r>
      <w:r>
        <w:rPr>
          <w:rFonts w:ascii="Times New Roman;Times;Serif" w:hAnsi="Times New Roman;Times;Serif"/>
          <w:b w:val="false"/>
          <w:i w:val="false"/>
          <w:caps w:val="false"/>
          <w:smallCaps w:val="false"/>
          <w:sz w:val="20"/>
          <w:bdr w:val="single" w:sz="8" w:space="5" w:color="000000"/>
        </w:rPr>
        <w:t>” beginning on page S-22 of this prospectus supplement.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S-3</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5" w:color="000000"/>
        </w:rPr>
      </w:pPr>
      <w:bookmarkStart w:id="5" w:name="sp_004"/>
      <w:bookmarkEnd w:id="5"/>
      <w:r>
        <w:rPr>
          <w:rFonts w:ascii="Times New Roman;Times;Serif" w:hAnsi="Times New Roman;Times;Serif"/>
          <w:b/>
          <w:i w:val="false"/>
          <w:caps w:val="false"/>
          <w:smallCaps w:val="false"/>
          <w:sz w:val="20"/>
          <w:bdr w:val="single" w:sz="8" w:space="5" w:color="000000"/>
        </w:rPr>
        <w:t>THE OFFERING</w:t>
      </w:r>
    </w:p>
    <w:p>
      <w:pPr>
        <w:pStyle w:val="TextBody"/>
        <w:bidi w:val="0"/>
        <w:spacing w:before="0" w:after="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312"/>
        <w:gridCol w:w="60"/>
        <w:gridCol w:w="8833"/>
      </w:tblGrid>
      <w:tr>
        <w:trPr/>
        <w:tc>
          <w:tcPr>
            <w:tcW w:w="1312" w:type="dxa"/>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offered by us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3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2,610,715 shares of our Common Stock </w:t>
            </w:r>
          </w:p>
        </w:tc>
      </w:tr>
      <w:tr>
        <w:trPr/>
        <w:tc>
          <w:tcPr>
            <w:tcW w:w="13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3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being Offered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3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offering 960,715 pre-funded warrants to purchase shares of Common Stock to certain purchasers whose purchase of shares of Common Stock in this offering would otherwise result in the purchaser, together with its affiliates and certain related parties, beneficially owning more than 4.99% (or, at the election of the purchaser, 9.99%) of our outstanding Common Stock immediately following the consummation of this offering, the opportunity to purchase, if such purchasers so choose, 960,715 pre-funded warrants to purchase shares of Common Stock, in lieu of shares of Class A Common Stock that would otherwise result in any such purchaser’s beneficial ownership exceeding 4.99% (or, at the election of the purchaser, 9.99%) of our outstanding Common Stock. Each pre-funded warrant will be exercisable for one share of our Common Stock. The combined purchase price of each pre-funded warrant and accompanying Warrant will equal the price at which each share of Common Stock and accompanying Warrant are being sold in this offering, minus $0.0001, and the exercise price of each pre-funded warrant will be $0.0001 per share. The pre-funded warrants will be exercisable immediately and may be exercised at any time until all the pre-funded warrants are exercised in full. This offering also relates to the shares of Common Stock issuable upon exercise of any pre-funded warrants sold in this offering. For each pre-funded warrant we sell, the number of shares of Common Stock we are offering will be decreased on a one-for-one basis. Because we will issue one Warrant, each to purchase one share of Common Stock, for each share of our Common Stock and for each pre-funded warrant to purchase one share of our Common Stock sold in this offering, the number of Warrants sold in this offering will not change as a result of a change in the mix of the shares of our Common Stock and pre-funded warrants sold.</w:t>
            </w:r>
          </w:p>
        </w:tc>
      </w:tr>
      <w:tr>
        <w:trPr/>
        <w:tc>
          <w:tcPr>
            <w:tcW w:w="13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3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being Offered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3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up to 3,571,430 shares of our Common Stock. Each share of Common Stock is being offered together with one Warrant to purchase one share of Common Stock. Each Warrant has an exercise price of $4.20 per share of Common Stock. The Warrants will become immediately exercisable following the issuance date and will expire five years from the date of issuance. For additional information regarding the Warrants, see “</w:t>
            </w:r>
            <w:r>
              <w:rPr>
                <w:rFonts w:ascii="Times New Roman;Times;Serif" w:hAnsi="Times New Roman;Times;Serif"/>
                <w:b w:val="false"/>
                <w:i/>
                <w:caps w:val="false"/>
                <w:smallCaps w:val="false"/>
                <w:sz w:val="20"/>
              </w:rPr>
              <w:t>Description of Securities We Are Offering</w:t>
            </w:r>
            <w:r>
              <w:rPr>
                <w:rFonts w:ascii="Times New Roman;Times;Serif" w:hAnsi="Times New Roman;Times;Serif"/>
                <w:b w:val="false"/>
                <w:i w:val="false"/>
                <w:caps w:val="false"/>
                <w:smallCaps w:val="false"/>
                <w:sz w:val="20"/>
              </w:rPr>
              <w:t>” below.</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and pre-funded warrants, and the accompanying Warrants can only be purchased together in this offering but will be issued separately and will be immediately separable upon issuance. This prospectus supplement also relates to the offering of the shares of Common Stock issuable upon exercise of the Warrants and the pre-funded warrants.</w:t>
            </w:r>
          </w:p>
          <w:p>
            <w:pPr>
              <w:pStyle w:val="TableContents"/>
              <w:bidi w:val="0"/>
              <w:spacing w:before="0" w:after="0"/>
              <w:ind w:left="0" w:right="0" w:hanging="180"/>
              <w:jc w:val="both"/>
              <w:rPr>
                <w:caps w:val="false"/>
                <w:smallCaps w:val="false"/>
              </w:rPr>
            </w:pPr>
            <w:r>
              <w:rPr>
                <w:caps w:val="false"/>
                <w:smallCaps w:val="false"/>
              </w:rPr>
              <w:t> </w:t>
            </w:r>
          </w:p>
        </w:tc>
      </w:tr>
      <w:tr>
        <w:trPr/>
        <w:tc>
          <w:tcPr>
            <w:tcW w:w="13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3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outstanding</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33"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26,194,665</w:t>
            </w:r>
          </w:p>
        </w:tc>
      </w:tr>
      <w:tr>
        <w:trPr/>
        <w:tc>
          <w:tcPr>
            <w:tcW w:w="131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33"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31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to be outstanding immediately after this offering</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8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29,766,095 shares of Common Stock based on the assumptions noted below (assuming full exercise of the pre-funded warrants and assuming no exercise of the Warrants).</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S-4</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064"/>
        <w:gridCol w:w="60"/>
        <w:gridCol w:w="9081"/>
      </w:tblGrid>
      <w:tr>
        <w:trPr/>
        <w:tc>
          <w:tcPr>
            <w:tcW w:w="1064" w:type="dxa"/>
            <w:tcBorders/>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Use of Proceeds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081"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estimate that the net proceeds to us from this offering, after deducting the estimated placement agent fees and estimated offering expenses payable by us, will be approximately $13.9 million, excluding the proceeds, if any, from the cash exercise of the Warrants in this offering. We currently intend to use the net proceeds from this offering for general corporate and working capital purposes and </w:t>
            </w:r>
            <w:r>
              <w:rPr>
                <w:rFonts w:ascii="Times New Roman;Times;Serif" w:hAnsi="Times New Roman;Times;Serif"/>
                <w:b w:val="false"/>
                <w:i w:val="false"/>
                <w:caps w:val="false"/>
                <w:smallCaps w:val="false"/>
                <w:sz w:val="20"/>
                <w:shd w:fill="FFFFFF" w:val="clear"/>
              </w:rPr>
              <w:t>to redeem the Series A Convertible Preferred Stock</w:t>
            </w:r>
            <w:r>
              <w:rPr>
                <w:rFonts w:ascii="Times New Roman;Times;Serif" w:hAnsi="Times New Roman;Times;Serif"/>
                <w:b w:val="false"/>
                <w:i w:val="false"/>
                <w:caps w:val="false"/>
                <w:smallCaps w:val="false"/>
                <w:sz w:val="20"/>
              </w:rPr>
              <w:t>.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on page S-8 of this prospectus supplement.</w:t>
            </w:r>
          </w:p>
        </w:tc>
      </w:tr>
      <w:tr>
        <w:trPr/>
        <w:tc>
          <w:tcPr>
            <w:tcW w:w="10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081"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0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081" w:type="dxa"/>
            <w:tcBorders/>
            <w:vAlign w:val="center"/>
          </w:tcPr>
          <w:p>
            <w:pPr>
              <w:pStyle w:val="TableContents"/>
              <w:bidi w:val="0"/>
              <w:spacing w:before="0" w:after="283"/>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this prospectus supplement, the accompanying prospectus and otherwise incorporated by reference into this prospectus supplement and the accompanying prospectus for a discussion of factors you should consider carefully before deciding to invest in shares of our Common Stock.</w:t>
            </w:r>
          </w:p>
        </w:tc>
      </w:tr>
      <w:tr>
        <w:trPr/>
        <w:tc>
          <w:tcPr>
            <w:tcW w:w="106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081" w:type="dxa"/>
            <w:tcBorders/>
            <w:vAlign w:val="center"/>
          </w:tcPr>
          <w:p>
            <w:pPr>
              <w:pStyle w:val="TableContents"/>
              <w:bidi w:val="0"/>
              <w:spacing w:before="0" w:after="283"/>
              <w:ind w:left="0" w:right="0" w:hanging="180"/>
              <w:jc w:val="both"/>
              <w:rPr>
                <w:caps w:val="false"/>
                <w:smallCaps w:val="false"/>
              </w:rPr>
            </w:pPr>
            <w:r>
              <w:rPr>
                <w:caps w:val="false"/>
                <w:smallCaps w:val="false"/>
              </w:rPr>
              <w:t> </w:t>
            </w:r>
          </w:p>
        </w:tc>
      </w:tr>
      <w:tr>
        <w:trPr/>
        <w:tc>
          <w:tcPr>
            <w:tcW w:w="106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Global Market symbol</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08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NTHI”</w:t>
            </w:r>
          </w:p>
        </w:tc>
      </w:tr>
    </w:tbl>
    <w:p>
      <w:pPr>
        <w:pStyle w:val="TextBody"/>
        <w:bidi w:val="0"/>
        <w:jc w:val="left"/>
        <w:rPr>
          <w:bdr w:val="single" w:sz="8" w:space="5" w:color="000000"/>
        </w:rPr>
      </w:pPr>
      <w:r>
        <w:rPr>
          <w:bdr w:val="single" w:sz="8" w:space="5" w:color="000000"/>
        </w:rPr>
        <w:t>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26,194,665 shares of Common Stock issued and outstanding as of September 8, 2026 and excludes as of that date:</w:t>
            </w:r>
          </w:p>
        </w:tc>
      </w:tr>
    </w:tbl>
    <w:p>
      <w:pPr>
        <w:pStyle w:val="TextBody"/>
        <w:bidi w:val="0"/>
        <w:jc w:val="left"/>
        <w:rPr>
          <w:bdr w:val="single" w:sz="8" w:space="5" w:color="000000"/>
        </w:rPr>
      </w:pPr>
      <w:r>
        <w:rPr>
          <w:bdr w:val="single" w:sz="8" w:space="5" w:color="000000"/>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pPr>
            <w:r>
              <w:rPr/>
              <w:t>28,437,970 shares of Common Stock issuable upon exercise of outstanding warrants;</w:t>
            </w:r>
          </w:p>
        </w:tc>
      </w:tr>
    </w:tbl>
    <w:p>
      <w:pPr>
        <w:pStyle w:val="TextBody"/>
        <w:bidi w:val="0"/>
        <w:spacing w:before="0" w:after="0"/>
        <w:ind w:left="270" w:right="0" w:hanging="270"/>
        <w:jc w:val="left"/>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623,666 unvested shares of restricted stock issued pursuant to our 2023 Equity Incentive Plan (the “Plan”);</w:t>
            </w:r>
          </w:p>
        </w:tc>
      </w:tr>
    </w:tbl>
    <w:p>
      <w:pPr>
        <w:pStyle w:val="TextBody"/>
        <w:bidi w:val="0"/>
        <w:spacing w:before="0" w:after="0"/>
        <w:ind w:left="270" w:right="0" w:hanging="270"/>
        <w:jc w:val="left"/>
        <w:rPr>
          <w:caps w:val="false"/>
          <w:smallCaps w:val="false"/>
          <w:bdr w:val="single" w:sz="8" w:space="5" w:color="000000"/>
        </w:rPr>
      </w:pPr>
      <w:r>
        <w:rPr>
          <w:caps w:val="false"/>
          <w:smallCaps w:val="false"/>
          <w:bdr w:val="single" w:sz="8" w:space="5" w:color="000000"/>
        </w:rPr>
        <w:t> </w:t>
      </w:r>
    </w:p>
    <w:tbl>
      <w:tblPr>
        <w:tblW w:w="9078" w:type="dxa"/>
        <w:jc w:val="left"/>
        <w:tblInd w:w="0" w:type="dxa"/>
        <w:tblLayout w:type="fixed"/>
        <w:tblCellMar>
          <w:top w:w="0" w:type="dxa"/>
          <w:left w:w="0" w:type="dxa"/>
          <w:bottom w:w="0" w:type="dxa"/>
          <w:right w:w="0" w:type="dxa"/>
        </w:tblCellMar>
      </w:tblPr>
      <w:tblGrid>
        <w:gridCol w:w="38"/>
        <w:gridCol w:w="170"/>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both"/>
              <w:rPr/>
            </w:pPr>
            <w:r>
              <w:rPr/>
              <w:t>Shares of Common Stock issuable pursuant to a $50 million Equity Purchase Agreement; and</w:t>
            </w:r>
          </w:p>
        </w:tc>
      </w:tr>
    </w:tbl>
    <w:p>
      <w:pPr>
        <w:pStyle w:val="TextBody"/>
        <w:bidi w:val="0"/>
        <w:spacing w:before="0" w:after="0"/>
        <w:ind w:left="270" w:right="0" w:hanging="270"/>
        <w:jc w:val="left"/>
        <w:rPr>
          <w:caps w:val="false"/>
          <w:smallCaps w:val="false"/>
          <w:bdr w:val="single" w:sz="8" w:space="5" w:color="000000"/>
        </w:rPr>
      </w:pPr>
      <w:r>
        <w:rPr>
          <w:caps w:val="false"/>
          <w:smallCaps w:val="false"/>
          <w:bdr w:val="single" w:sz="8" w:space="5" w:color="000000"/>
        </w:rPr>
        <w:t> </w:t>
      </w:r>
    </w:p>
    <w:tbl>
      <w:tblPr>
        <w:tblW w:w="7788" w:type="dxa"/>
        <w:jc w:val="left"/>
        <w:tblInd w:w="0" w:type="dxa"/>
        <w:tblLayout w:type="fixed"/>
        <w:tblCellMar>
          <w:top w:w="0" w:type="dxa"/>
          <w:left w:w="0" w:type="dxa"/>
          <w:bottom w:w="0" w:type="dxa"/>
          <w:right w:w="0" w:type="dxa"/>
        </w:tblCellMar>
      </w:tblPr>
      <w:tblGrid>
        <w:gridCol w:w="38"/>
        <w:gridCol w:w="170"/>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580" w:type="dxa"/>
            <w:tcBorders/>
            <w:vAlign w:val="center"/>
          </w:tcPr>
          <w:p>
            <w:pPr>
              <w:pStyle w:val="TableContents"/>
              <w:bidi w:val="0"/>
              <w:spacing w:before="0" w:after="283"/>
              <w:jc w:val="both"/>
              <w:rPr/>
            </w:pPr>
            <w:r>
              <w:rPr/>
              <w:t>1,199,507 shares of Common Stock reserved for future issuance under the Plan.</w:t>
            </w:r>
          </w:p>
        </w:tc>
      </w:tr>
    </w:tbl>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sp_005"/>
      <w:bookmarkEnd w:id="6"/>
      <w:r>
        <w:rPr>
          <w:rFonts w:ascii="Times New Roman;Times;Serif" w:hAnsi="Times New Roman;Times;Serif"/>
          <w:b/>
          <w:i w:val="false"/>
          <w:caps w:val="false"/>
          <w:smallCaps w:val="false"/>
          <w:sz w:val="20"/>
        </w:rPr>
        <w:t>RISK FACTORS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Before you invest in our Common Stock, you should be aware that our business faces numerous financial and market risks, including those described below, as well as general economic and business risks. Our Common Stock is speculative, and you should not make an investment in NeOnc unless you can afford to bear the loss of your entire investment. Prior to making a decision about investing in our Common Stock, you should carefully consider the risks, uncertainties and assumptions discussed under Item 1A, “Risk Factors,” in our Annual Report on Form 10-K for the fiscal year ended December 31, 2025, as updated by our subsequent filings with the SEC, under the Securities Exchange Act of 1934, as amended, or the Exchange Act, which are incorporated herein by reference, together with the information in this prospectus supplement and the base prospectus and any other information incorporated by reference herein or therein. Before you decide whether to invest in our Common Stock, you should carefully consider these risks and uncertainties, together with all of the other information included in or incorporated by reference into this prospectus supplement or the accompanying prospectus. The risks and uncertainties identified are not the only risks and uncertainties we face. If any of the material risks or uncertainties that we face were to occur, you could lose part or all of your investment.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Risks Related to our Common Stock and this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Purchasers in this offering will experience immediate and substantial dilution in the book value of their investment.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per share of our Common Stock being offered is higher than the net tangible book value per share of our outstanding Common Stock prior to this offering. Based on an offering price of $4.20, our as adjusted net tangible book value per share of Common Stock after this offering will be $(0.17). As a result, purchasers in this offering will experience an immediate decrease of $4.37 per share in net tangible book value of the shares of our Common Stock purchased in this offering. For a more detailed discussion of the foregoing, see “</w:t>
      </w:r>
      <w:r>
        <w:rPr>
          <w:rFonts w:ascii="Times New Roman;Times;Serif" w:hAnsi="Times New Roman;Times;Serif"/>
          <w:b w:val="false"/>
          <w:i/>
          <w:caps w:val="false"/>
          <w:smallCaps w:val="false"/>
          <w:sz w:val="20"/>
        </w:rPr>
        <w:t>Dilution</w:t>
      </w:r>
      <w:r>
        <w:rPr>
          <w:rFonts w:ascii="Times New Roman;Times;Serif" w:hAnsi="Times New Roman;Times;Serif"/>
          <w:b w:val="false"/>
          <w:i w:val="false"/>
          <w:caps w:val="false"/>
          <w:smallCaps w:val="false"/>
          <w:sz w:val="20"/>
        </w:rPr>
        <w:t>” in this prospectus supplement. To the extent outstanding warrants or restricted stock are exercised or vested, as applicable, there will be further dilution to investors. Investors may be further diluted in the event that outstanding convertible promissory notes or the Series A Convertible Preferred Stock are converted into Common Stock, or in the event that Common Stock is issued pursuant to the Plan.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have broad discretion in how we use the net proceeds of this offering, if any. We may not use these proceeds effectively, which could affect our results of operations and cause our stock price to decline.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currently intend to use the net proceeds from this offering, if any, in the manner described in the section entitled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in this prospectus supplement, we will have considerable discretion in the application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 If we do not invest or apply the net proceeds from this offering in ways that enhance stockholder value, we may fail to achieve expected financial results, which could cause our stock price to decline.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public market for the Warrants or pre-funded warrants being offered by us in this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Warrants or the pre-funded warrants, and we do not expect a market to develop. In addition, we do not intend to apply to list the Warrants or pre-funded warrants on any national securities exchange or other nationally recognized trading system. Without an active market, the liquidity of the Warrants and pre-funded warrants will be limited.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Warrants and pre-funded warrants are speculative in nature.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and pre-funded warrants offered hereby do not confer any rights of share of Common Stock ownership on their holders, such as voting rights or the right to receive dividends, but rather merely represent the right to acquire shares of Common Stock at a fixed price. Holders of the Warrants may acquire the shares of Common Stock issuable upon exercise of such Warrants at an exercise price of $4.20 per share of Common Stock, and holders of the pre-funded warrants may acquire the shares of Common Stock issuable upon exercise of such warrants at an exercise price of $0.0001 per share of Common Stock. Moreover, following this offering, the market value of the Warrants and pre-funded warrants is uncertain and there can be no assurance that the market value of the Warrants or pre-funded warrants will equal or exceed their respective offering prices. There can be no assurance that the market price of the shares of Common Stock will ever equal or exceed the exercise price of the Warrants or pre-funded warrants, and consequently, whether it will ever be profitable for holders of Warrants to exercise the Warrants or for holders of the pre-funded warrants to exercise the pre-funded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the Warrants and pre-funded warrants offered hereby will have no rights as common stockholders with respect to the shares of our Common Stock underlying such warrants until such holders exercise their warrants and acquire our Common Stock, except as otherwise provided in the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holders of the Warrants and the pre-funded warrants acquire shares of our Common Stock upon exercise thereof, such holders will have no rights with respect to the shares of our Common Stock underlying such warrants, except to the extent that holders of such warrants will have certain rights to participate in distributions or dividends paid on our Common Stock as set forth in the Warrants and pre-funded warrants. Upon exercise of the Warrants and the pre-funded warrants, the holders will be entitled to exercise the rights of a common stockholder only as to matters for which the record date occurs after the exercise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substantial number of shares of our Common Stock may be sold in the market following this offering, which may depress the market price for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following this offering, or the perception that such sales might occur, could cause the market price of our Common Stock to decline. A substantial number of the outstanding shares of our Common Stock are, and the shares of Common Stock sold in this offering upon issuance will be, freely tradeable without restriction or further registration under the Securities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sp_006"/>
      <w:bookmarkEnd w:id="7"/>
      <w:r>
        <w:rPr>
          <w:rFonts w:ascii="Times New Roman;Times;Serif" w:hAnsi="Times New Roman;Times;Serif"/>
          <w:b/>
          <w:i w:val="false"/>
          <w:caps w:val="false"/>
          <w:smallCaps w:val="false"/>
          <w:sz w:val="20"/>
        </w:rPr>
        <w:t>USE OF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expect the net proceeds to us from this offering after deducting commissions and estimated offering expenses to be approximately $13.9 million, excluding the proceeds, if any, from the cash exercise of the Warrants in this offering. We may receive additional proceeds from the exercise of the Warrants issuable in connection with this offering and, if such Warrants are exercised in full for cash, the additional net proceeds will be approximately $15 million. We intend to use the net proceeds from the sale of securities offered by this prospectus supplement for general corporate and working capital purposes and </w:t>
      </w:r>
      <w:r>
        <w:rPr>
          <w:rFonts w:ascii="Times New Roman;Times;Serif" w:hAnsi="Times New Roman;Times;Serif"/>
          <w:b w:val="false"/>
          <w:i w:val="false"/>
          <w:caps w:val="false"/>
          <w:smallCaps w:val="false"/>
          <w:sz w:val="20"/>
          <w:shd w:fill="FFFFFF" w:val="clear"/>
        </w:rPr>
        <w:t>to redeem the Series A Convertible Preferred Stock</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sp_007"/>
      <w:bookmarkEnd w:id="8"/>
      <w:r>
        <w:rPr>
          <w:rFonts w:ascii="Times New Roman;Times;Serif" w:hAnsi="Times New Roman;Times;Serif"/>
          <w:b/>
          <w:i w:val="false"/>
          <w:caps w:val="false"/>
          <w:smallCaps w:val="false"/>
          <w:sz w:val="20"/>
        </w:rPr>
        <w:t>DESCRIPTION OF SECURITIES WE ARE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brief summary of certain terms and conditions of the securities being offered in this offering. The following description is subject in all respects to the provisions contained in instruments governing the applicable security.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2,610,715 shares of our Common Stock, 960,715 pre-funded warrants to purchase Common Stock and 3,571,430 Warrants to purchase up to 3,571,430 shares of Common Stock. Each share of Common Stock is being offered together with one Warrant to purchase one share of Common Stock. We are also offering pre-funded warrants to those purchasers whose purchase of shares of Common Stock in this offering would result in the purchaser, together with its affiliates and certain related parties, beneficially owning more than 4.99% (or, at the election of the purchaser, 9.99%) of our outstanding shares of Common Stock following the consummation of this offering in lieu of the shares of Common Stock that would result in such excess ownership. Each pre-funded warrant will be exercisable for one share of Common Stock. Each pre-funded warrant is being offered together with one Warrant to purchase one share of Common Stock. No Warrant for fractional shares of Common Stock will be issued, rather Warrants will be issued only for whole shares of Common Stock. We are also registering the shares of Common Stock issuable from time to time upon exercise of the pre-funded warrants and Warrants offered hereby.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and provisions of our Common Stock are described under the caption “</w:t>
      </w:r>
      <w:r>
        <w:rPr>
          <w:rFonts w:ascii="Times New Roman;Times;Serif" w:hAnsi="Times New Roman;Times;Serif"/>
          <w:b w:val="false"/>
          <w:i/>
          <w:caps w:val="false"/>
          <w:smallCaps w:val="false"/>
          <w:sz w:val="20"/>
        </w:rPr>
        <w:t>Description of Securities</w:t>
      </w:r>
      <w:r>
        <w:rPr>
          <w:rFonts w:ascii="Times New Roman;Times;Serif" w:hAnsi="Times New Roman;Times;Serif"/>
          <w:b w:val="false"/>
          <w:i w:val="false"/>
          <w:caps w:val="false"/>
          <w:smallCaps w:val="false"/>
          <w:sz w:val="20"/>
        </w:rPr>
        <w:t>” in the accompanying prospectus and are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terms and provisions of the Warrants that are being offered hereby is not complete and is subject to, and qualified in its entirety by, the provisions of the Warrants. Prospective investors should carefully review the terms and provisions of the form of Warrant for a complete description of the terms and conditions of the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Duration, Exercise Price and Form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offering Warrants to purchase up to an aggregate of 3,571,430 shares of our Common Stock. Each Warrant may be exercised, in cash, or by a cashless exercise at the election of the holder under certain circumstances, at any time following the issuance date, and will expire five years from the date of issuance. The exercise price and number of shares of Common Stock issuable upon exercise is subject to appropriate adjustment in the event of stock dividends, stock splits, reorganizations or similar events affecting our Common Stock and the exercise price. The Warrants will be issued separately from the Common Stock and will be held separately immediately thereafter. One Warrant to purchase one share of our Common Stock, will be issued for every share of Common Stock or pre-funded warrant purchased in this offering. The Warrants will be issued in certificated form only.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exercisable immediately following the date of issuance and, at the option of each holder, in whole or in part, by delivering to us a duly executed exercise notice accompanied by payment in full for the number of shares of our Common Stock purchased upon such exercise (except in the case of a cashless exercise as discussed below). A holder (together with its affiliates) may not exercise any portion of such holder’s Warrants to the extent that the holder would own more than 4.99% of the outstanding Common Stock immediately after exercise, except that upon at least 61 days’ prior notice from the holder to us, the holder may increase the amount of ownership of outstanding stock after exercising the holder’s Warrants up to 9.99% of the number of shares of our Common Stock outstanding immediately after giving effect to the exercise, as such percentage ownership is determined in accordance with the terms of the Warrants. Purchasers of Warrants in this offering may also elect prior to the issuance of the Warrants to have the initial exercise limitation set at 9.99% of our outstanding shares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Cashless Exercise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a holder exercises its Warrants, a registration statement registering the issuance of the shares of Common Stock underlying the Warrants under the Securities Act is not then effective or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Fundamental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fundamental transaction, as described in the form of Warrant,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Warrants will be entitled to receive upon exercise of the Warrants the kind and amount of securities, cash or other property that the holders would have received had they exercised the Warrants immediately prior to such fundamental transaction, other than one in which a successor entity that is a publicly traded corporation (whose stock is quoted or listed for trading on a national securities exchange, including, but not limited to, the New York Stock Exchange, the NYSE American, the Nasdaq Global Select Market, the Nasdaq Global Market or the Nasdaq Capital Market) assumes the Warrants such that the warrant shall be exercisable for the publicly traded Common Stock of such successor entity. Additionally, as more fully described in the Warrants, at the option of the holders of the Warrants the holder can receive consideration in the same type and form of an amount equal to the Black Scholes value (as defined in the Warrants) of such unexercised Warrants on the date of consummation of such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the Warrants may be transferred at the option of the holder upon surrender of the Warrants to us together with the appropriate instruments of transfer.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Fractional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Common Stock will be issued upon the exercise of the Warrants. Rather, the number of shares of Common Stock to be issued will, at the Company’s election, either be rounded up to the next whole share or we will pay a cash adjustment in respect of such final fraction in an amount equal to such fraction multiplied by the exercise price.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trading market for the Warrants, and we do not expect an active trading market to develop. We do not intend to apply to list the Warrants on any securities exchange or other trading market. Without a trading market, the liquidity of the Warrants will be extremely limited.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 as a Stockholder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Warrants or by virtue of the holder’s ownership of shares of our Common Stock, such holder of Warrants does not have the rights or privileges of a holder of our Common Stock, including any voting rights until such holder exercises such holder’s Warrants. The Warrants will provide that the holders of the Warrants have the right to participate in distributions or dividends paid on our shares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Waivers and Amendments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Section 2(e) or Section 5(l) of the Warrants which may not be amended, modified or waived, the Warrants may be modified or amended or the provisions of the Warrants waived with our and the holder’s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terms and provisions of the pre-funded warrants that are being offered hereby is not complete and is subject to, and qualified in its entirety by, the provisions of the pre-funded warrant, the form of which will be filed as an exhibit to the registration statement of which this prospectus supplement forms a part. Prospective investors should carefully review the terms and provisions of the form of pre-funded warrant for a complete description of the terms and conditions of the pre-funded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Duration, Exercise Price and Form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offered hereby will have an initial exercise price per share of Common Stock equal to $0.0001. The pre-funded warrants will be immediately exercisable and may be exercised at any time until all pre-funded warrants have exercised in full. The exercise price and number of shares of Common Stock issuable upon exercise is subject to appropriate adjustment in the event of stock dividends, stock splits, reorganizations or similar events affecting our Common Stock and the exercise price. The pre-funded warrants will be issued in certificated form only.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be exercisable, at the option of each holder, in whole or in part, by delivering to us a duly executed exercise notice accompanied by payment in full for the number of shares of Common Stock purchased upon such exercise (except in the case of a cashless exercise as discussed below). A holder (together with its affiliates) may not exercise any portion of the pre-funded warrant to the extent that the holder would own more than 4.99% of the outstanding shares of Common Stock immediately after exercise, except that upon at least 61 days’ prior notice from the holder to us, the holder may increase the amount of beneficial ownership of outstanding shares after exercising the holder’s pre-funded warrants up to 9.99% of the number of our shares of Common Stock outstanding immediately after giving effect to the exercise, as such percentage ownership is determined in accordance with the terms of the pre-funded warrants. Purchasers of pre-funded warrants in this offering may also elect prior to the issuance of the pre-funded warrants to have the initial exercise limitation set at 9.99% of our outstanding shares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Cashless Exercise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pre-funded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Fractional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Common Stock will be issued upon the exercise of the pre-funded warrants. Rather, the number of shares of Common Stock to be issued will be, at the Company’s election, either rounded up to the next whole share or we will pay a cash adjustment in respect of such final fraction in an amount equal to such fraction multiplied by the exercise price.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a pre-funded warrant may be transferred at the option of the holder upon surrender of the pre-funded warrants to us together with the appropriate instruments of transfer.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trading market available for the pre-funded warrants on any securities exchange or nationally recognized trading system, and we do not expect a trading market to develop. We do not intend to list the pre-funded warrants on any securities exchange or nationally recognized trading market. Without a trading market, the liquidity of the pre-funded warrants will be extremely limited. The shares of Common Stock issuable upon exercise of the pre-funded warrants are currently traded on the Nasdaq Global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 as a Stockholder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pre-funded warrants or by virtue of such holder’s ownership of shares of Common Stock, the holders of the pre-funded warrants do not have the rights or privileges of holders of our shares of Common Stock, including any voting rights, until they exercise their pre-funded warrants. The pre-funded warrants will provide that the holders of the pre-funded warrants have the right to participate in distributions or dividends paid on our shares of Common Stock.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Fundamental Transaction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 other than one in which a successor entity that is a publicly traded corporation (whose stock is quoted or listed for trading on a national securities exchange, including, but not limited to, the New York Stock Exchange, the NYSE American, the Nasdaq Global Select Market, the Nasdaq Global Market or the Nasdaq Capital Market) assumes the pre-funded warrant such that the warrant shall be exercisable for the publicly traded Common Stock of such successor entity.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Waivers and Amendments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Section 2(e) or Section 5(l) of the pre-funded warrant which may not be amended, modified or waived, the pre-funded warrant may be modified or amended or the provisions of the pre-funded warrant waived with our and the holder’s written consent.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9" w:name="sp_008"/>
      <w:bookmarkEnd w:id="9"/>
      <w:r>
        <w:rPr>
          <w:rFonts w:ascii="Times New Roman;Times;Serif" w:hAnsi="Times New Roman;Times;Serif"/>
          <w:b/>
          <w:i w:val="false"/>
          <w:caps/>
          <w:sz w:val="20"/>
        </w:rPr>
        <w:t>Dilution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securities in this offering, your interest will be diluted to the extent of the difference between the combined offering price per share and the as adjusted net tangible book value per share of our Common Stock after this offering. As of June 30, 2026, our net tangible book value was $(19.0) million, or $(0.73) per share, based on 25,933,365 shares of Common Stock outstanding at that date. Our net tangible book value per share represents the amount of our total tangible assets reduced by the amount of our total liabilities, divided by the total number of shares of our Common Stock outstanding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3,571,430 shares of Common Stock (assuming no issuance of pre-funded warrants in lieu thereof) and accompanying Warrants at a combined offering price of $4.20 per share, and after deducting commissions and estimated offering expenses payable by us, our as adjusted net tangible book value as of June 30, 2026 would have been $(5.1) million, or $(0.17) per share of Common Stock. This represents an immediate increase in net tangible book value of $0.56 per share to our existing stockholders and an immediate dilution in net tangible book value of $4.37 per share to investors in this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dilution to investors on a per share basis.</w:t>
      </w:r>
    </w:p>
    <w:p>
      <w:pPr>
        <w:pStyle w:val="TextBody"/>
        <w:bidi w:val="0"/>
        <w:spacing w:before="0" w:after="0"/>
        <w:jc w:val="both"/>
        <w:rPr>
          <w:caps w:val="false"/>
          <w:smallCaps w:val="false"/>
        </w:rPr>
      </w:pPr>
      <w:r>
        <w:rPr>
          <w:caps w:val="false"/>
          <w:smallCaps w:val="false"/>
        </w:rPr>
        <w:t> </w:t>
      </w:r>
    </w:p>
    <w:tbl>
      <w:tblPr>
        <w:tblW w:w="9185" w:type="dxa"/>
        <w:jc w:val="left"/>
        <w:tblInd w:w="0" w:type="dxa"/>
        <w:tblLayout w:type="fixed"/>
        <w:tblCellMar>
          <w:top w:w="0" w:type="dxa"/>
          <w:left w:w="0" w:type="dxa"/>
          <w:bottom w:w="0" w:type="dxa"/>
          <w:right w:w="0" w:type="dxa"/>
        </w:tblCellMar>
      </w:tblPr>
      <w:tblGrid>
        <w:gridCol w:w="7550"/>
        <w:gridCol w:w="60"/>
        <w:gridCol w:w="140"/>
        <w:gridCol w:w="515"/>
        <w:gridCol w:w="95"/>
        <w:gridCol w:w="60"/>
        <w:gridCol w:w="140"/>
        <w:gridCol w:w="515"/>
        <w:gridCol w:w="110"/>
      </w:tblGrid>
      <w:tr>
        <w:trPr/>
        <w:tc>
          <w:tcPr>
            <w:tcW w:w="7550" w:type="dxa"/>
            <w:tcBorders/>
            <w:shd w:fill="CCEEFF" w:val="clear"/>
            <w:vAlign w:val="center"/>
          </w:tcPr>
          <w:p>
            <w:pPr>
              <w:pStyle w:val="TableContents"/>
              <w:bidi w:val="0"/>
              <w:spacing w:before="0" w:after="283"/>
              <w:ind w:left="0" w:right="0" w:hanging="180"/>
              <w:jc w:val="left"/>
              <w:rPr/>
            </w:pPr>
            <w:r>
              <w:rPr/>
              <w:t>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4.20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50" w:type="dxa"/>
            <w:tcBorders/>
            <w:shd w:fill="FFFFFF" w:val="clear"/>
            <w:vAlign w:val="center"/>
          </w:tcPr>
          <w:p>
            <w:pPr>
              <w:pStyle w:val="TableContents"/>
              <w:bidi w:val="0"/>
              <w:spacing w:before="0" w:after="283"/>
              <w:jc w:val="left"/>
              <w:rPr/>
            </w:pPr>
            <w:r>
              <w:rPr/>
              <w:t>Historical net tangible book value per share as of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15" w:type="dxa"/>
            <w:tcBorders/>
            <w:shd w:fill="FFFFFF" w:val="clear"/>
            <w:vAlign w:val="center"/>
          </w:tcPr>
          <w:p>
            <w:pPr>
              <w:pStyle w:val="TableContents"/>
              <w:bidi w:val="0"/>
              <w:spacing w:before="0" w:after="283"/>
              <w:jc w:val="right"/>
              <w:rPr/>
            </w:pPr>
            <w:r>
              <w:rPr/>
              <w:t>(0.73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550" w:type="dxa"/>
            <w:tcBorders/>
            <w:shd w:fill="CCEEFF" w:val="clear"/>
            <w:vAlign w:val="center"/>
          </w:tcPr>
          <w:p>
            <w:pPr>
              <w:pStyle w:val="TableContents"/>
              <w:bidi w:val="0"/>
              <w:spacing w:before="0" w:after="283"/>
              <w:jc w:val="left"/>
              <w:rPr/>
            </w:pPr>
            <w:r>
              <w:rPr/>
              <w:t>Increase per share attributable to investors purchasing shares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right"/>
              <w:rPr/>
            </w:pPr>
            <w:r>
              <w:rPr/>
              <w:t>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550" w:type="dxa"/>
            <w:tcBorders/>
            <w:shd w:fill="FFFFFF" w:val="clear"/>
            <w:vAlign w:val="center"/>
          </w:tcPr>
          <w:p>
            <w:pPr>
              <w:pStyle w:val="TableContents"/>
              <w:bidi w:val="0"/>
              <w:spacing w:before="0" w:after="283"/>
              <w:jc w:val="left"/>
              <w:rPr/>
            </w:pPr>
            <w:r>
              <w:rPr/>
              <w:t>As adjusted net tangible book value per share,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15" w:type="dxa"/>
            <w:tcBorders>
              <w:bottom w:val="single" w:sz="8" w:space="0" w:color="000000"/>
            </w:tcBorders>
            <w:shd w:fill="FFFFFF" w:val="clear"/>
            <w:tcMar>
              <w:bottom w:w="28" w:type="dxa"/>
            </w:tcMar>
            <w:vAlign w:val="center"/>
          </w:tcPr>
          <w:p>
            <w:pPr>
              <w:pStyle w:val="TableContents"/>
              <w:bidi w:val="0"/>
              <w:spacing w:before="0" w:after="283"/>
              <w:jc w:val="right"/>
              <w:rPr/>
            </w:pPr>
            <w:r>
              <w:rPr/>
              <w:t>(0.17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550" w:type="dxa"/>
            <w:tcBorders/>
            <w:shd w:fill="CCEEFF" w:val="clear"/>
            <w:vAlign w:val="center"/>
          </w:tcPr>
          <w:p>
            <w:pPr>
              <w:pStyle w:val="TableContents"/>
              <w:bidi w:val="0"/>
              <w:spacing w:before="0" w:after="283"/>
              <w:jc w:val="left"/>
              <w:rPr/>
            </w:pPr>
            <w:r>
              <w:rPr/>
              <w:t>Dilution per share to investors purchasing Common Stock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pPr>
            <w:r>
              <w:rPr/>
              <w:t>4.37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table and calculations are based on 25,933,365 shares of our Common Stock outstanding as of June 30, 2026, and excludes as of such date:</w:t>
      </w:r>
    </w:p>
    <w:p>
      <w:pPr>
        <w:pStyle w:val="TextBody"/>
        <w:bidi w:val="0"/>
        <w:spacing w:before="0" w:after="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70"/>
        <w:gridCol w:w="5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sz w:val="20"/>
              </w:rPr>
            </w:pPr>
            <w:r>
              <w:rPr>
                <w:sz w:val="20"/>
              </w:rPr>
              <w:t>573,666 unvested shares of restricted stock issued pursuant to the Plan;</w:t>
            </w:r>
          </w:p>
        </w:tc>
      </w:tr>
    </w:tbl>
    <w:p>
      <w:pPr>
        <w:pStyle w:val="TextBody"/>
        <w:bidi w:val="0"/>
        <w:jc w:val="both"/>
        <w:rPr/>
      </w:pPr>
      <w:r>
        <w:rPr/>
        <w:t> </w:t>
      </w:r>
    </w:p>
    <w:tbl>
      <w:tblPr>
        <w:tblW w:w="7825" w:type="dxa"/>
        <w:jc w:val="left"/>
        <w:tblInd w:w="0" w:type="dxa"/>
        <w:tblLayout w:type="fixed"/>
        <w:tblCellMar>
          <w:top w:w="0" w:type="dxa"/>
          <w:left w:w="0" w:type="dxa"/>
          <w:bottom w:w="0" w:type="dxa"/>
          <w:right w:w="0" w:type="dxa"/>
        </w:tblCellMar>
      </w:tblPr>
      <w:tblGrid>
        <w:gridCol w:w="75"/>
        <w:gridCol w:w="170"/>
        <w:gridCol w:w="75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580" w:type="dxa"/>
            <w:tcBorders/>
            <w:vAlign w:val="center"/>
          </w:tcPr>
          <w:p>
            <w:pPr>
              <w:pStyle w:val="TableContents"/>
              <w:bidi w:val="0"/>
              <w:spacing w:before="0" w:after="283"/>
              <w:jc w:val="both"/>
              <w:rPr>
                <w:sz w:val="20"/>
              </w:rPr>
            </w:pPr>
            <w:r>
              <w:rPr>
                <w:sz w:val="20"/>
              </w:rPr>
              <w:t>Shares of Common Stock issuable pursuant to a $50 million Equity Purchase Agreement; and</w:t>
            </w:r>
          </w:p>
        </w:tc>
      </w:tr>
    </w:tbl>
    <w:p>
      <w:pPr>
        <w:pStyle w:val="TextBody"/>
        <w:bidi w:val="0"/>
        <w:jc w:val="both"/>
        <w:rPr/>
      </w:pPr>
      <w:r>
        <w:rPr/>
        <w:t> </w:t>
      </w:r>
    </w:p>
    <w:tbl>
      <w:tblPr>
        <w:tblW w:w="6520" w:type="dxa"/>
        <w:jc w:val="left"/>
        <w:tblInd w:w="0" w:type="dxa"/>
        <w:tblLayout w:type="fixed"/>
        <w:tblCellMar>
          <w:top w:w="0" w:type="dxa"/>
          <w:left w:w="0" w:type="dxa"/>
          <w:bottom w:w="0" w:type="dxa"/>
          <w:right w:w="0" w:type="dxa"/>
        </w:tblCellMar>
      </w:tblPr>
      <w:tblGrid>
        <w:gridCol w:w="75"/>
        <w:gridCol w:w="170"/>
        <w:gridCol w:w="627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275" w:type="dxa"/>
            <w:tcBorders/>
            <w:vAlign w:val="center"/>
          </w:tcPr>
          <w:p>
            <w:pPr>
              <w:pStyle w:val="TableContents"/>
              <w:bidi w:val="0"/>
              <w:spacing w:before="0" w:after="283"/>
              <w:jc w:val="both"/>
              <w:rPr>
                <w:sz w:val="20"/>
              </w:rPr>
            </w:pPr>
            <w:r>
              <w:rPr>
                <w:sz w:val="20"/>
              </w:rPr>
              <w:t>249,507 shares of Common Stock reserved for future issuance under the Plan.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outstanding warrants are exercised, or restricted stock awards are vested and settled,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sp_009"/>
      <w:bookmarkEnd w:id="10"/>
      <w:r>
        <w:rPr>
          <w:rFonts w:ascii="Times New Roman;Times;Serif" w:hAnsi="Times New Roman;Times;Serif"/>
          <w:b/>
          <w:i w:val="false"/>
          <w:caps w:val="false"/>
          <w:smallCaps w:val="false"/>
          <w:sz w:val="20"/>
        </w:rPr>
        <w:t>DIVIDEND POLICY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and do not anticipate paying any cash dividends on our Common Stock at any time in the foreseeable future.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and will depend on, among other factors, our financial condition, operating results, capital requirements, general business conditions, the terms of any future credit agreements and other factors that our Board may deem relevant.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sp_010"/>
      <w:bookmarkEnd w:id="11"/>
      <w:r>
        <w:rPr>
          <w:rFonts w:ascii="Times New Roman;Times;Serif" w:hAnsi="Times New Roman;Times;Serif"/>
          <w:b/>
          <w:i w:val="false"/>
          <w:caps w:val="false"/>
          <w:smallCaps w:val="false"/>
          <w:sz w:val="20"/>
        </w:rPr>
        <w:t>MATERIAL U.S. FEDERAL INCOME AND ESTATE TAX CONSEQUENCES TO</w:t>
        <w:br/>
        <w:t>NON-U.S. HOLDERS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U.S. federal income and estate tax consequences to non-U.S. holders (as defined below) of the ownership and disposition of our Common Stock but does not purport to be a complete analysis of all the potential tax considerations relating thereto. This summary is based upon the provisions of the Internal Revenue Code of 1986, as amended, or the Code, U.S. Treasury regulations promulgated thereunder, administrative rulings and judicial decisions, all as of the date hereof. These authorities may be changed, possibly retroactively, or be subject to differing interpretations so as to result in U.S. federal income and estate tax consequences different from those set forth below. We have not sought and will not seek any ruling from the Internal Revenue Service, or the IRS, with respect to the statements made and the conclusions reached in the following summary, and there can be no assurance that the IRS or a court will not take a position contrary to such statements and conclusions.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applies only to Common Stock acquired in this offering. It does not address the tax considerations arising under the laws of any non-U.S., state or local jurisdiction or under U.S. federal non-income tax laws, except to the limited extent set forth below. In addition, this discussion does not address the potential application of the Medicare surtax on net investment income or any tax considerations applicable to an investor’s particular circumstances or to investors that may be subject to special tax rules, including, without limitation:</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insurance companies or other financial institutions;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subject to the alternative minimum tax;</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organizations;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foreign pension funds;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controlled foreign corporations,” “passive foreign investment companies” and corporations that accumulate earnings to avoid U.S. federal income tax;</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or dealers in securities or currencies;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in securities that elect to use a mark-to-market method of accounting for their securities holdings;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own, or are deemed to own, more than 5% of our capital stock (except to the extent specifically set forth below);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citizens or long-term residents of the United States;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entities or arrangements treated as partnerships for U.S. federal income tax purposes and other pass-through entities (and investors therein);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hold our Common Stock as a position in a “straddle,” “conversion transaction” or other risk reduction transaction or integrated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do not hold our Common Stock as a capital asset within the meaning of Code Section 1221 (generally, property held for investment);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subject to special tax accounting rules as a result of any item of gross income with respect to our Common Stock being taken into account in an applicable financial statement;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deemed to sell our Common Stock under the constructive sale provisions of the Code.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entity or arrangement classified as a partnership for U.S. federal income tax purposes holds our Common Stock, the tax treatment of a partner generally will depend on the status of the partner and upon the activities of the partnership. Accordingly, partnerships that hold our Common Stock, and partners in such partnerships, should consult their tax advisors regarding the tax consequences of the purchase, ownership and disposition of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urged to consult your tax advisor with respect to the application of the U.S. federal income tax laws to your particular situation, as well as any tax consequences of the purchase, ownership and disposition of our Common Stock arising under the U.S. federal non-income tax laws or under the laws of any state, local, non-U.S. or other taxing jurisdiction or under any applicable tax treaty.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Non-U.S. Holder Defined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except as modified for estate tax purposes, you are a non-U.S. holder if you are a beneficial owner of shares of our Common Stock, other than a partnership or entity or arrangement classified as a partnership for U.S. federal income tax purposes, or:</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 (for U.S. federal income tax purposes);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taxable as a corporation created or organized in the United States or under the laws of the United States or any political subdivision thereof or entity treated as such for U.S. federal income tax purposes;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whose income is subject to U.S. federal income tax regardless of its source;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(x) whose administration is subject to the primary supervision of a U.S. court, and which has one or more U.S. persons who have the authority to control all substantial decisions of the trust or (y) which has made a valid election to be treated as a U.S. person.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Distributions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cash distributions on our Common Stock and do not anticipate doing so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on effectively connected income, any dividend paid to a non-U.S. holder generally will be subject to U.S. withholding tax either at a rate of 30% of the gross amount of the dividend or such lower rate as may be specified by an applicable income tax treaty. In order to receive a reduced treaty rate, a non-U.S. holder must provide us with an IRS Form W-8BEN, IRS Form W-8BEN-E or other appropriate version of IRS Form W-8, including a U.S. taxpayer identification number, if required, certifying qualification for the reduced rate. A non-U.S. holder of shares of our Common Stock eligible for a reduced rate of U.S. withholding tax pursuant to an income tax treaty may obtain a refund of any excess amounts withheld by filing an appropriate claim for refund with the IRS. If the non-U.S. holder holds the stock through a financial institution or other agent acting on the non-U.S. holder’s behalf, the non-U.S. holder will be required to provide appropriate documentation to the agent, which may then be required to provide certification to the relevant paying agent, either directly or through other intermediaries.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received by a non-U.S. holder that are effectively connected with such holder’s conduct of a U.S. trade or business (and, if required by an applicable tax treaty, that are attributable to a permanent establishment maintained in the U.S.), are generally exempt from such withholding tax. In order to obtain this exemption, a non-U.S. holder must provide us with an IRS Form W-8ECI properly certifying such exemption. Such effectively connected dividends, although not subject to withholding tax, generally are taxed at the same graduated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You should consult your tax advisor regarding any applicable tax treaties that may provide for different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Disposition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discussions below regarding backup withholding and foreign accounts, a non-U.S. holder generally will not be required to pay U.S. federal income tax on any gain realized upon the sale or other disposition of our Common Stock unless: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such holder’s conduct of a U.S. trade or business (and, if required by an applicable income tax treaty, the gain is attributable to a permanent establishment maintained in the United States);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holder is an individual who is present in the United States for a period or periods aggregating 183 days or more during the taxable year in which the sale or disposition occurs and certain other conditions are met;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constitutes a U.S. real property interest by reason of our status as a “United States real property holding corporation,” or USRPHC, for U.S. federal income tax purposes at any time within the shorter of the five-year period preceding such holder’s disposition of, or the holder’s holding period for, our Common Stock.</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not currently and will not become a USRPHC.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U.S. real property interests only if a non-U.S. holder actually or constructively holds more than 5% of such regularly traded Common Stock at any time during the shorter of the five year period preceding the holder’s disposition of, or the holder’s holding period for, our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non-U.S. holder described in the first bullet above, you will be required to pay U.S. federal income tax on the net gain derived from the sale under regular graduated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required to pay a flat 30% U.S. federal income tax (or such lower rate specified by an applicable income tax treaty) on the gain derived from the sale, which gain may be offset by U.S.-source capital losses for the year, provided you have timely filed U.S. federal income tax returns with respect to such losses. You should consult any applicable income tax or other treaties that may provide for different rules.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Estate Tax</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beneficially owned by an individual who is not a citizen or resident of the United States (as defined for U.S. federal estate tax purposes) at the time of death will generally be includable in the decedent’s gross estate for U.S. federal estate tax purposes, unless an applicable estate tax treaty provides otherwise.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Backup Withholding and Information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we must report annually to the IRS the amount of dividends paid to a non-U.S. holder, such holder’s name and address, and the amount of tax withheld, if any. A similar report will be sent to such non-U.S. holder. Pursuant to applicable income tax treaties or other agreements, the IRS may make these reports available to tax authorities in the non-U.S. holder’s country of residence.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on or of proceeds from the disposition of our Common Stock made to a non-U.S. holder may be subject to additional information reporting and backup withholding at a current rate of 24% unless such holder establishes an exemption, for example, by properly certifying such holder’s non-U.S. status on a Form W-8BEN, IRS Form W-8BEN-E or another appropriate version of IRS Form W-8. Notwithstanding the foregoing, backup withholding and information reporting may apply if either we or our paying agent has actual knowledge, or reason to know, that such holder is a U.S. person.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Account Tax Compliance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commonly referred to as “FATCA” impose a U.S. federal withholding tax of 30% on dividends on, and the gross proceeds from a disposition of, our Common Stock paid to a “foreign financial institution” (as specifically defined under the FATCA rules) unless such institution enters into an agreement with the U.S. government to, among other things,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or otherwise establishes an exemption. FATCA also imposes a U.S. federal withholding tax of 30% to dividends on, and the gross proceeds from a disposition of, our Common Stock paid to a “non-financial foreign entity” (as specifically defined under the FATCA rules) unless such entity provides the withholding agent with either a certification that it does not have any substantial direct or indirect U.S. owners or provides information regarding direct and indirect U.S. owners of the entity or otherwise establishes an exception.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withholding provisions described above generally apply to payments of dividends on our Common Stock and will apply to payments of gross proceeds from a sale or other disposition of our Common Stock However, the U.S. Treasury Department has issued proposed regulations that, if finalized in their present form, would eliminate FATCA withholding on gross proceeds of the sale or other disposition of our Common Stock (but not on payments of dividends). Taxpayers may rely on the proposed regulations until final regulations are issued or until such proposed regulations are rescinded. An intergovernmental agreement between the United States and an applicable foreign country may modify the requirements described in this section. Under certain circumstances, a non-U.S. holder might be eligible for refunds or credits of such taxes. You should consult your personal tax advisor regarding these withholding provisions.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preceding discussion of U.S. federal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sp_011"/>
      <w:bookmarkEnd w:id="12"/>
      <w:r>
        <w:rPr>
          <w:rFonts w:ascii="Times New Roman;Times;Serif" w:hAnsi="Times New Roman;Times;Serif"/>
          <w:b/>
          <w:i w:val="false"/>
          <w:caps w:val="false"/>
          <w:smallCaps w:val="false"/>
          <w:sz w:val="20"/>
        </w:rPr>
        <w:t>PLAN OF DISTRIBUTION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securities purchase agreements with certain institutional and accredited investors pursuant to which we have agreed to issue and sell directly to such investors, and such investors have agreed to purchase directly from us, an aggregate of 2,610,715 shares of Common Stock, pre-funded warrants to purchase up to 960,715 shares of Common Stock and Warrants to purchase up to 3,571,430 shares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retained Roth Capital Partners, LLC and A.G.P./ Alliance Global Partners to act as our placement agents in connection with this offering. Under the terms of the placement agency agreement, dated September 8, 2026, the placement agents are not purchasing or selling any Common Stock offered by us in this offering, and are not required to arrange for the sale of any specific number or dollar amount of the Common Stock, Warrants or pre-funded warrants other than to use their reasonable best efforts to arrange for the sale of such Common Stock, Warrants or pre-funded warrants by 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deliver the securities being offered pursuant to this prospectus supplement and accompanying prospectus on or about September 10, 2026, subject to satisfaction of customary closing conditions.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placement agents a cash fee equal to 7.0% of the aggregate gross proceeds of this offering. We have also agreed to reimburse the placement agents at closing for out-of-pocket expenses, including legal expenses, incurred by them in connection with the offering up to a maximum of $75,000. The following table shows the per share, per pre-funded warrant and total cash placement agent fees we will pay to the placement agents in connection with the sale of the securities offered pursuant to this prospectus supplement and the accompanying prospectus, assuming the purchase of all of the securities offered hereby:</w:t>
      </w:r>
    </w:p>
    <w:p>
      <w:pPr>
        <w:pStyle w:val="TextBody"/>
        <w:bidi w:val="0"/>
        <w:spacing w:before="0" w:after="0"/>
        <w:jc w:val="both"/>
        <w:rPr>
          <w:caps w:val="false"/>
          <w:smallCaps w:val="false"/>
        </w:rPr>
      </w:pPr>
      <w:r>
        <w:rPr>
          <w:caps w:val="false"/>
          <w:smallCaps w:val="false"/>
        </w:rPr>
        <w:t> </w:t>
      </w:r>
    </w:p>
    <w:tbl>
      <w:tblPr>
        <w:tblW w:w="8588" w:type="dxa"/>
        <w:jc w:val="left"/>
        <w:tblInd w:w="0" w:type="dxa"/>
        <w:tblLayout w:type="fixed"/>
        <w:tblCellMar>
          <w:top w:w="0" w:type="dxa"/>
          <w:left w:w="0" w:type="dxa"/>
          <w:bottom w:w="0" w:type="dxa"/>
          <w:right w:w="0" w:type="dxa"/>
        </w:tblCellMar>
      </w:tblPr>
      <w:tblGrid>
        <w:gridCol w:w="3095"/>
        <w:gridCol w:w="60"/>
        <w:gridCol w:w="230"/>
        <w:gridCol w:w="1319"/>
        <w:gridCol w:w="60"/>
        <w:gridCol w:w="60"/>
        <w:gridCol w:w="397"/>
        <w:gridCol w:w="1932"/>
        <w:gridCol w:w="60"/>
        <w:gridCol w:w="60"/>
        <w:gridCol w:w="140"/>
        <w:gridCol w:w="1100"/>
        <w:gridCol w:w="75"/>
      </w:tblGrid>
      <w:tr>
        <w:trPr/>
        <w:tc>
          <w:tcPr>
            <w:tcW w:w="309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Per Share and </w:t>
              <w:br/>
              <w:t>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w:t>
              <w:br/>
              <w:t>Pre-Funded</w:t>
              <w:br/>
              <w:t>Warrant and 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r>
              <w:rPr>
                <w:b/>
                <w:position w:val="7"/>
                <w:sz w:val="16"/>
                <w:sz w:val="20"/>
              </w:rPr>
              <w:t>(1)</w:t>
            </w:r>
          </w:p>
        </w:tc>
        <w:tc>
          <w:tcPr>
            <w:tcW w:w="75" w:type="dxa"/>
            <w:tcBorders/>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pPr>
            <w:r>
              <w:rPr/>
              <w:t>Offering price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4.20000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932" w:type="dxa"/>
            <w:tcBorders/>
            <w:shd w:fill="CCEEFF" w:val="clear"/>
            <w:vAlign w:val="center"/>
          </w:tcPr>
          <w:p>
            <w:pPr>
              <w:pStyle w:val="TableContents"/>
              <w:bidi w:val="0"/>
              <w:spacing w:before="0" w:after="283"/>
              <w:jc w:val="right"/>
              <w:rPr/>
            </w:pPr>
            <w:r>
              <w:rPr/>
              <w:t>4.1999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14,999,910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095" w:type="dxa"/>
            <w:tcBorders/>
            <w:shd w:fill="FFFFFF" w:val="clear"/>
            <w:vAlign w:val="center"/>
          </w:tcPr>
          <w:p>
            <w:pPr>
              <w:pStyle w:val="TableContents"/>
              <w:bidi w:val="0"/>
              <w:spacing w:before="0" w:after="283"/>
              <w:jc w:val="left"/>
              <w:rPr>
                <w:sz w:val="20"/>
              </w:rPr>
            </w:pPr>
            <w:r>
              <w:rPr>
                <w:sz w:val="20"/>
              </w:rPr>
              <w:t>Placement agent fees (7.0%)</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0.29400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932" w:type="dxa"/>
            <w:tcBorders>
              <w:bottom w:val="single" w:sz="8" w:space="0" w:color="000000"/>
            </w:tcBorders>
            <w:shd w:fill="FFFFFF" w:val="clear"/>
            <w:tcMar>
              <w:bottom w:w="28" w:type="dxa"/>
            </w:tcMar>
            <w:vAlign w:val="center"/>
          </w:tcPr>
          <w:p>
            <w:pPr>
              <w:pStyle w:val="TableContents"/>
              <w:bidi w:val="0"/>
              <w:spacing w:before="0" w:after="283"/>
              <w:jc w:val="right"/>
              <w:rPr/>
            </w:pPr>
            <w:r>
              <w:rPr/>
              <w:t>0.2940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1,049,994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095" w:type="dxa"/>
            <w:tcBorders/>
            <w:shd w:fill="CCEEFF" w:val="clear"/>
            <w:vAlign w:val="center"/>
          </w:tcPr>
          <w:p>
            <w:pPr>
              <w:pStyle w:val="TableContents"/>
              <w:bidi w:val="0"/>
              <w:spacing w:before="0" w:after="283"/>
              <w:jc w:val="left"/>
              <w:rPr/>
            </w:pPr>
            <w:r>
              <w:rPr/>
              <w:t>Proceeds, before expenses, to us</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319" w:type="dxa"/>
            <w:tcBorders/>
            <w:shd w:fill="CCEEFF" w:val="clear"/>
            <w:vAlign w:val="center"/>
          </w:tcPr>
          <w:p>
            <w:pPr>
              <w:pStyle w:val="TableContents"/>
              <w:bidi w:val="0"/>
              <w:spacing w:before="0" w:after="283"/>
              <w:jc w:val="right"/>
              <w:rPr/>
            </w:pPr>
            <w:r>
              <w:rPr/>
              <w:t>3.90600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pPr>
            <w:r>
              <w:rPr/>
              <w:t>$</w:t>
            </w:r>
          </w:p>
        </w:tc>
        <w:tc>
          <w:tcPr>
            <w:tcW w:w="1932" w:type="dxa"/>
            <w:tcBorders/>
            <w:shd w:fill="CCEEFF" w:val="clear"/>
            <w:vAlign w:val="center"/>
          </w:tcPr>
          <w:p>
            <w:pPr>
              <w:pStyle w:val="TableContents"/>
              <w:bidi w:val="0"/>
              <w:spacing w:before="0" w:after="283"/>
              <w:jc w:val="right"/>
              <w:rPr/>
            </w:pPr>
            <w:r>
              <w:rPr/>
              <w:t>3.9059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13,949,916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placement agents against certain liabilities, including liabilities under the Securities Act, or to contribute to payments that the placement agents or such other indemnified parties may be required to make in respect of those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S-19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of the securities purchase agreements until 30 days after the closing date of this offering (the “standstill period”), neither the Company nor any subsidiary of the Company may (i) issue, enter into any agreement to issue or announce the issuance or proposed issuance of any shares of Common Stock or Common Stock equivalents or (ii) file any registration statement or amendment or supplement thereto, other than this prospectus supplement, or filing a registration statement on Form S-8 in connection with any employee benefit plan. This lock-up period does not apply to certain exempt issuances, as described in the securities purchase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Chief Executive Officer and Chief Medical Officer have entered into lock-up agreements. Under the lock-up agreements, our Chief Executive Officer and Chief Medical Officer may not, directly or indirectly, for a period of 90 days from the closing date of this offering,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Chief Executive Officer, Chief Medical Officer or any affiliate of the Chief Executive Officer or Chief Medical Officer or any person in privity with the Chief Executive Officer and Chief Medical Officer, or establish or increase a put equivalent position or liquidate or decrease a call equivalent position within the meaning of Section 16 of the Exchange Act, with respect to, any shares of Common Stock of the Company or securities convertible, exchangeable or exercisable into, shares of Common Stock of the Company beneficially owned, held or hereafter acquired by the Chief Executive Officer or Chief Medical Officer.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these limitations, these shares of Common Stock may be transferred under limited circumstances, including, without limitation, by a bona fide gift, will or intestate succession.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 Restrictions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agents may be deemed to be underwriters within the meaning of Section 2(a)(11) of the Securities Act, and any commissions received by them and any profit realized on the resale of the securities sold by them while acting as our placement agents might be deemed to be underwriting discounts or commissions under the Securities Act. As underwriters, the placement agents would be required to comply with the requirements of the Securities Act and the Exchange Act, including, without limitation, Rule 415(a)(4) under the Securities Act and Rule 10b-5 and Regulation M under the Exchange Act. These rules and regulations may limit the timing of purchases and sales of shares of securities by the placement agents acting as placement agent. Under these rules and regulations, the placement agents: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engage in any stabilization activity in connection with our securities;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not bid for or purchase any of our securities or attempt to induce any person to purchase any of our securities, other than as permitted under the Exchange Act, until it has completed its participation in the distribution.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S-20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accompanying prospectus may be made available in electronic format on websites or via email or through other online services maintained by the Company and/or the placement agents. Other than this prospectus supplement and the accompanying prospectus in electronic format, the information on the Company’s and/or the placement agents’ websites and any information contained in any other websites maintained by the Company and/or the placement agents are not part of this prospectus supplement, accompanying prospectus, or the registration statement of which this prospectus supplement and accompanying prospectus form a part, has not been approved or endorsed by us or the placement agents, and should not be relied upon by investors.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purport to be a complete statement of the terms and conditions of the engagement letter agreement with the placement agents nor the securities purchase agreements.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Stabilization, Short Positions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has been authorized by the Company to engage in any form of price stabilization in connection with this offering.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placement agents and their affiliates have provided, and may in the future provide, a variety of these services to us and to persons and entities with relationships with is, for which they received or will receive customary fees and expenses, including the Company’s current at-the-market offering facility, for which A.G.P./Alliance Global Partners currently acts as sales agent.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their various business activities, the placement agents and their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placement agents and their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Listing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“NTHI.” There is no established public trading market for the Warrants or pre-funded warrants, and we do not expect such markets to develop. In addition, we do not intend to apply for a listing of the Warrants or pre-funded warrants on any national securities exchange or other nationally recognized trading system.</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sp_012"/>
      <w:bookmarkEnd w:id="13"/>
      <w:r>
        <w:rPr>
          <w:rFonts w:ascii="Times New Roman;Times;Serif" w:hAnsi="Times New Roman;Times;Serif"/>
          <w:b/>
          <w:i w:val="false"/>
          <w:caps w:val="false"/>
          <w:smallCaps w:val="false"/>
          <w:sz w:val="20"/>
        </w:rPr>
        <w:t>LEGAL MATTERS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Common Stock offered by this prospectus supplement and the accompanying prospectus will be passed upon for us by Manatt, Phelps &amp; Phillips, LLP, Costa Mesa, California. Ellenoff Grossman &amp; Schole LLP, New York, New York, is counsel for the placement agents in connection with this offering.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sp_013"/>
      <w:bookmarkEnd w:id="14"/>
      <w:r>
        <w:rPr>
          <w:rFonts w:ascii="Times New Roman;Times;Serif" w:hAnsi="Times New Roman;Times;Serif"/>
          <w:b/>
          <w:i w:val="false"/>
          <w:caps w:val="false"/>
          <w:smallCaps w:val="false"/>
          <w:sz w:val="20"/>
        </w:rPr>
        <w:t>EXPERTS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NeOnc Technologies Holdings, Inc. incorporated in this prospectus supplement by reference to the Annual Report on Form 10-K for the year ended December 31, 2025 have been so incorporated in reliance on (i) the report of CBIZ CPAs P.C., an independent registered public accounting firm, given on the authority of said firm as experts in auditing and accounting, with respect to the financial statements of the Company for the year ended December 31, 2025, and (ii) the report of Marcum LLP, an independent registered public accounting firm, given on the authority of said firm as experts in auditing and accounting, with respect to the financial statements of the Company for the year ended December 31, 2024. Such financial reports are incorporated by reference in reliance upon the reports of such firm given upon their authority as experts in accounting and auditing.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sp_014"/>
      <w:bookmarkEnd w:id="15"/>
      <w:r>
        <w:rPr>
          <w:rFonts w:ascii="Times New Roman;Times;Serif" w:hAnsi="Times New Roman;Times;Serif"/>
          <w:b/>
          <w:i w:val="false"/>
          <w:caps w:val="false"/>
          <w:smallCaps w:val="false"/>
          <w:sz w:val="20"/>
        </w:rPr>
        <w:t>INCORPORATION OF CERTAIN INFORMATION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should be read with the same care. When we update the information contained in documents that have been incorporated by reference by making future filings with the SEC, the information incorporated by reference in this prospectus supplement is considered to be automatically updated and superseded. In other words, in the case of a conflict or inconsistency between information contained in this prospectus and information incorporated by reference into this prospectus supplement, you should rely on the information contained in the document that was filed later.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incorporate by reference into this prospectus supplement the following documents that we have filed with the SEC under the Exchange Act: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3"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Annual Report on Form 10-K for the fiscal year ended December 31, 2025 filed with the SEC on </w:t>
            </w:r>
            <w:hyperlink r:id="rId3">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and Amendment No. 1 thereto filed with the SEC on </w:t>
            </w:r>
            <w:hyperlink r:id="rId4">
              <w:r>
                <w:rPr>
                  <w:rStyle w:val="InternetLink"/>
                  <w:rFonts w:ascii="Times New Roman;Times;Serif" w:hAnsi="Times New Roman;Times;Serif"/>
                  <w:b w:val="false"/>
                  <w:i w:val="false"/>
                  <w:caps w:val="false"/>
                  <w:smallCaps w:val="false"/>
                  <w:sz w:val="20"/>
                </w:rPr>
                <w:t>May 5, 2026</w:t>
              </w:r>
            </w:hyperlink>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7" w:type="dxa"/>
            <w:tcBorders/>
            <w:vAlign w:val="center"/>
          </w:tcPr>
          <w:p>
            <w:pPr>
              <w:pStyle w:val="TableContents"/>
              <w:bidi w:val="0"/>
              <w:spacing w:before="0" w:after="283"/>
              <w:jc w:val="both"/>
              <w:rPr>
                <w:caps w:val="false"/>
                <w:smallCaps w:val="false"/>
              </w:rPr>
            </w:pPr>
            <w:r>
              <w:rPr>
                <w:caps w:val="false"/>
                <w:smallCaps w:val="false"/>
              </w:rPr>
              <w:t> </w:t>
            </w:r>
          </w:p>
        </w:tc>
        <w:tc>
          <w:tcPr>
            <w:tcW w:w="99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03" w:type="dxa"/>
            <w:tcBorders/>
            <w:vAlign w:val="center"/>
          </w:tcPr>
          <w:p>
            <w:pPr>
              <w:pStyle w:val="TableContents"/>
              <w:bidi w:val="0"/>
              <w:spacing w:before="0" w:after="0"/>
              <w:jc w:val="both"/>
              <w:rPr/>
            </w:pPr>
            <w:r>
              <w:rPr>
                <w:rFonts w:ascii="Times New Roman;Times;Serif" w:hAnsi="Times New Roman;Times;Serif"/>
                <w:b w:val="false"/>
                <w:i w:val="false"/>
                <w:caps w:val="false"/>
                <w:smallCaps w:val="false"/>
                <w:sz w:val="20"/>
              </w:rPr>
              <w:t xml:space="preserve">our Quarterly Reports on Form 10-Q for the fiscal quarters ended March 31, 2026, and June 30, 2026, filed with the SEC on </w:t>
            </w:r>
            <w:hyperlink r:id="rId5">
              <w:r>
                <w:rPr>
                  <w:rStyle w:val="InternetLink"/>
                  <w:rFonts w:ascii="Times New Roman;Times;Serif" w:hAnsi="Times New Roman;Times;Serif"/>
                  <w:b w:val="false"/>
                  <w:i w:val="false"/>
                  <w:caps w:val="false"/>
                  <w:smallCaps w:val="false"/>
                  <w:sz w:val="20"/>
                </w:rPr>
                <w:t>May 15, 2026</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August 10, 2026</w:t>
              </w:r>
            </w:hyperlink>
            <w:r>
              <w:rPr>
                <w:rFonts w:ascii="Times New Roman;Times;Serif" w:hAnsi="Times New Roman;Times;Serif"/>
                <w:b w:val="false"/>
                <w:i w:val="false"/>
                <w:caps w:val="false"/>
                <w:smallCaps w:val="false"/>
                <w:sz w:val="20"/>
              </w:rPr>
              <w:t>, respectively;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7" w:type="dxa"/>
            <w:tcBorders/>
            <w:vAlign w:val="center"/>
          </w:tcPr>
          <w:p>
            <w:pPr>
              <w:pStyle w:val="TableContents"/>
              <w:bidi w:val="0"/>
              <w:spacing w:before="0" w:after="283"/>
              <w:jc w:val="both"/>
              <w:rPr>
                <w:caps w:val="false"/>
                <w:smallCaps w:val="false"/>
              </w:rPr>
            </w:pPr>
            <w:r>
              <w:rPr>
                <w:caps w:val="false"/>
                <w:smallCaps w:val="false"/>
              </w:rPr>
              <w:t> </w:t>
            </w:r>
          </w:p>
        </w:tc>
        <w:tc>
          <w:tcPr>
            <w:tcW w:w="99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03" w:type="dxa"/>
            <w:tcBorders/>
            <w:vAlign w:val="center"/>
          </w:tcPr>
          <w:p>
            <w:pPr>
              <w:pStyle w:val="TableContents"/>
              <w:bidi w:val="0"/>
              <w:spacing w:before="0" w:after="0"/>
              <w:jc w:val="both"/>
              <w:rPr/>
            </w:pPr>
            <w:r>
              <w:rPr>
                <w:rFonts w:ascii="Times New Roman;Times;Serif" w:hAnsi="Times New Roman;Times;Serif"/>
                <w:b w:val="false"/>
                <w:i w:val="false"/>
                <w:caps w:val="false"/>
                <w:smallCaps w:val="false"/>
                <w:sz w:val="20"/>
              </w:rPr>
              <w:t xml:space="preserve">our Current Reports on Form 8-K filed on </w:t>
            </w:r>
            <w:hyperlink r:id="rId7">
              <w:r>
                <w:rPr>
                  <w:rStyle w:val="InternetLink"/>
                  <w:rFonts w:ascii="Times New Roman;Times;Serif" w:hAnsi="Times New Roman;Times;Serif"/>
                  <w:b w:val="false"/>
                  <w:i w:val="false"/>
                  <w:caps w:val="false"/>
                  <w:smallCaps w:val="false"/>
                  <w:sz w:val="20"/>
                </w:rPr>
                <w:t>January 29,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March 3,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March 4,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March 17,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March 23,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April 10, 2026</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April 24, 2026</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June 12, 2026</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July 2, 2026</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August 20, 2026</w:t>
              </w:r>
            </w:hyperlink>
            <w:r>
              <w:rPr>
                <w:rFonts w:ascii="Times New Roman;Times;Serif" w:hAnsi="Times New Roman;Times;Serif"/>
                <w:b w:val="false"/>
                <w:i w:val="false"/>
                <w:caps w:val="false"/>
                <w:smallCaps w:val="false"/>
                <w:sz w:val="20"/>
              </w:rPr>
              <w:t xml:space="preserve">, and </w:t>
            </w:r>
            <w:hyperlink r:id="rId17">
              <w:r>
                <w:rPr>
                  <w:rStyle w:val="InternetLink"/>
                  <w:rFonts w:ascii="Times New Roman;Times;Serif" w:hAnsi="Times New Roman;Times;Serif"/>
                  <w:b w:val="false"/>
                  <w:i w:val="false"/>
                  <w:caps w:val="false"/>
                  <w:smallCaps w:val="false"/>
                  <w:sz w:val="20"/>
                </w:rPr>
                <w:t>August 21, 2026</w:t>
              </w:r>
            </w:hyperlink>
            <w:r>
              <w:rPr>
                <w:rFonts w:ascii="Times New Roman;Times;Serif" w:hAnsi="Times New Roman;Times;Serif"/>
                <w:b w:val="false"/>
                <w:i w:val="false"/>
                <w:caps w:val="false"/>
                <w:smallCaps w:val="false"/>
                <w:sz w:val="20"/>
              </w:rPr>
              <w:t>, in each case only to the extent filed and not furnished;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7" w:type="dxa"/>
            <w:tcBorders/>
            <w:vAlign w:val="center"/>
          </w:tcPr>
          <w:p>
            <w:pPr>
              <w:pStyle w:val="TableContents"/>
              <w:bidi w:val="0"/>
              <w:spacing w:before="0" w:after="283"/>
              <w:jc w:val="both"/>
              <w:rPr>
                <w:caps w:val="false"/>
                <w:smallCaps w:val="false"/>
              </w:rPr>
            </w:pPr>
            <w:r>
              <w:rPr>
                <w:caps w:val="false"/>
                <w:smallCaps w:val="false"/>
              </w:rPr>
              <w:t> </w:t>
            </w:r>
          </w:p>
        </w:tc>
        <w:tc>
          <w:tcPr>
            <w:tcW w:w="990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03"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which is contained in the Registrant’s Annual Report on </w:t>
            </w:r>
            <w:hyperlink r:id="rId18">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on March 31, 2026, including any amendments or supplements thereto.</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S-22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 on Form 10-K for the period ended December 31, 2025 contains a description of our business and audited consolidated financial statements with a report by our independent auditors. The consolidated financial statements are prepared and presented in conformity with U.S. generally accepted accounting principles.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supplement is a part and prior to effectiveness of such registration statement, until we file a post-effective amendment that indicates the termination of the offering of the securities made by this prospectus supplement, and such future filings will become a part of this prospectus supplement from the respective dates that such documents are filed with the SEC. Any statement contained herein or in a document incorporated or deemed to be incorporated by reference herein shall be deemed to be modified or superseded for purposes hereof to the extent that a statement contained herein or in any other subsequently filed document which is also incorporated or deemed to be incorporated by reference herein modifies or supersedes such statement. Any such statement so modified or superseded shall not be deemed, except as so modified or superseded, to constitute a part of this prospectus supplement. Copies of all documents incorporated by reference in this prospectus supplement, other than exhibits to those documents unless such exhibits are specifically incorporated by reference in this prospectus supplement, will be provided at no cost to each person, including any beneficial owner, who receives a copy of this prospectus on the written or oral request of that person made to: NeOnc Technologies Holdings, Inc. Attention: Corporate Secretary, 23975 Park Sorrento, Suite 205 Calabasas, California 91302.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incorporate by reference or provide in this prospectus supplement and the accompanying prospectus. We have not authorized anyone to provide you with different information. We are not making any offer of these securities in any jurisdiction where the offer is not permitted. You should not assume that the information in this prospectus supplement or any prospectus supplement is accurate as of any date other than the date on the front of those documents.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sp_015"/>
      <w:bookmarkEnd w:id="16"/>
      <w:r>
        <w:rPr>
          <w:rFonts w:ascii="Times New Roman;Times;Serif" w:hAnsi="Times New Roman;Times;Serif"/>
          <w:b/>
          <w:i w:val="false"/>
          <w:caps w:val="false"/>
          <w:smallCaps w:val="false"/>
          <w:sz w:val="20"/>
        </w:rPr>
        <w:t>WHERE YOU CAN FIND MORE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are part of the registration statement on Form S-3 we filed with the SEC under the Securities Act, and do not contain all the information set forth in the registration statement. Since this prospectus supplement and the accompanying prospectus may not contain all of the information that you may find important, you should review the full text of these documents. If we have filed a contract, agreement or other document as an exhibit to the registration statement of which this prospectus supplement and the accompanying prospectus form a part, you should read the exhibit for a more complete understanding of the document or matter involved. Each statement in this prospectus supplement and the accompanying prospectus, including statements incorporated by reference as discussed above, regarding a contract, agreement or other document is qualified in its entirety by reference to the actual document.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 reporting requirements of the Exchange Act, and, in accordance with these requirements, we file annual and current reports and other information with the SEC. You may inspect, read (without charge) and copy the reports and other information we file with the SEC at the SEC’s Public Reference Room located at 100 F Street, N.E., Washington, D.C. 20549. You may obtain information on the operation of the Public Reference Room by calling the SEC at 1-800-SEC-0330. The SEC also maintains an internet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that contains our filed reports and other information that we file electronically with the SEC.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maintain a corporate website at </w:t>
      </w:r>
      <w:r>
        <w:rPr>
          <w:rFonts w:ascii="Times New Roman;Times;Serif" w:hAnsi="Times New Roman;Times;Serif"/>
          <w:b w:val="false"/>
          <w:i/>
          <w:caps w:val="false"/>
          <w:smallCaps w:val="false"/>
          <w:sz w:val="20"/>
        </w:rPr>
        <w:t>www.neonc.com</w:t>
      </w:r>
      <w:r>
        <w:rPr>
          <w:rFonts w:ascii="Times New Roman;Times;Serif" w:hAnsi="Times New Roman;Times;Serif"/>
          <w:b w:val="false"/>
          <w:i w:val="false"/>
          <w:caps w:val="false"/>
          <w:smallCaps w:val="false"/>
          <w:sz w:val="20"/>
        </w:rPr>
        <w:t>. Information contained on, or that can be accessed through, our website does not constitute a part of this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S-24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381250" cy="742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9"/>
                    <a:stretch>
                      <a:fillRect/>
                    </a:stretch>
                  </pic:blipFill>
                  <pic:spPr bwMode="auto">
                    <a:xfrm>
                      <a:off x="0" y="0"/>
                      <a:ext cx="2381250" cy="7429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$300,000,000</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Common Stock</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Preferred Stock</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Debt Securities</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Warrants</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Rights</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offer up to $300,000,000 of any combination of the securities described in this prospectus. We may also offer securities as may be issuable upon conversion, redemption, repurchase, exchange or exercise of any securities registered hereunder, including any applicable antidilution provisions.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consummate a sale of any securities unless accompanied by a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par value $0.0001 (“Common Stock”), is listed on The Nasdaq Global Market under the symbol “NTHI.” On March 31, 2026 the last reported sale price of our Common Stock was $7.01 per share. The applicable prospectus supplement will contain information, where applicable, as to any other listing, if any, on The Nasdaq Global Market or any securities market or other exchange of the securities covered by the prospectus supplement.</w:t>
      </w:r>
    </w:p>
    <w:p>
      <w:pPr>
        <w:pStyle w:val="TextBody"/>
        <w:bidi w:val="0"/>
        <w:jc w:val="both"/>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p>
      <w:pPr>
        <w:pStyle w:val="TextBody"/>
        <w:bidi w:val="0"/>
        <w:jc w:val="left"/>
        <w:rPr>
          <w:caps w:val="false"/>
          <w:smallCaps w:val="false"/>
        </w:rPr>
      </w:pPr>
      <w:r>
        <w:rPr>
          <w:caps w:val="false"/>
          <w:smallCaps w:val="false"/>
        </w:rPr>
        <w:t> </w:t>
      </w:r>
    </w:p>
    <w:p>
      <w:pPr>
        <w:pStyle w:val="TextBody"/>
        <w:bidi w:val="0"/>
        <w:jc w:val="both"/>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under the heading “</w:t>
      </w:r>
      <w:hyperlink w:anchor="a_003">
        <w:r>
          <w:rPr>
            <w:rStyle w:val="InternetLink"/>
            <w:rFonts w:ascii="Times New Roman;Times;Serif" w:hAnsi="Times New Roman;Times;Serif"/>
            <w:b/>
            <w:i/>
            <w:caps w:val="false"/>
            <w:smallCaps w:val="false"/>
            <w:sz w:val="20"/>
          </w:rPr>
          <w:t>Risk Factors</w:t>
        </w:r>
      </w:hyperlink>
      <w:r>
        <w:rPr>
          <w:rFonts w:ascii="Times New Roman;Times;Serif" w:hAnsi="Times New Roman;Times;Serif"/>
          <w:b/>
          <w:i w:val="false"/>
          <w:caps w:val="false"/>
          <w:smallCaps w:val="false"/>
          <w:sz w:val="20"/>
        </w:rPr>
        <w:t>” beginning on page 4 of this prospectus and contained in the applicable prospectus supplement and any related free writing prospectus, and under similar headings in the other documents that are incorporated by reference into this prospectus.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April 2, 2026</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5750"/>
        <w:gridCol w:w="60"/>
        <w:gridCol w:w="230"/>
      </w:tblGrid>
      <w:tr>
        <w:trPr/>
        <w:tc>
          <w:tcPr>
            <w:tcW w:w="5750" w:type="dxa"/>
            <w:tcBorders/>
            <w:shd w:fill="CCEEFF" w:val="clear"/>
            <w:vAlign w:val="center"/>
          </w:tcPr>
          <w:p>
            <w:pPr>
              <w:pStyle w:val="TableContents"/>
              <w:bidi w:val="0"/>
              <w:spacing w:before="0" w:after="283"/>
              <w:ind w:left="0" w:right="0" w:hanging="180"/>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575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PROSPECTUS SUMMARY</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75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RISK FACTORS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75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SPECIAL NOTE REGARDING FORWARD-LOOKING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75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USE OF PROCEEDS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575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PLAN OF DISTRIBUTION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575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DESCRIPTION OF SECURITIES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575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DESCRIPTION OF DEBT SECURITIES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575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DESCRIPTION OF WARRANTS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575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DESCRIPTION OF RIGHTS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575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DESCRIPTION OF UNITS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575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EXPERTS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575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WHERE YOU CAN FIND MORE INFORMATION</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ind w:left="0" w:right="0" w:hanging="18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575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INCORPORATION OF CERTAIN INFORMATION BY REFERENCE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bl>
    <w:p>
      <w:pPr>
        <w:pStyle w:val="TextBody"/>
        <w:bidi w:val="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i</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7" w:name="a_001"/>
      <w:bookmarkEnd w:id="17"/>
      <w:r>
        <w:rPr>
          <w:rFonts w:ascii="Times New Roman;Times;Serif" w:hAnsi="Times New Roman;Times;Serif"/>
          <w:b/>
          <w:i w:val="false"/>
          <w:caps w:val="false"/>
          <w:smallCaps w:val="false"/>
          <w:sz w:val="20"/>
        </w:rPr>
        <w:t>ABOUT THIS PROSPECTUS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forms a part of a registration statement on Form S-3 that we filed with the Securities and Exchange Commission (the “SEC”) utilizing a “shelf” registration process. Under this shelf registration process, we may sell any combination of the securities described in this prospectus in one or more offerings up to a total dollar amount of $300,000,000. This prospectus provides you with a general description of the securities we may offer.</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before investing in any of the securities offered.</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CONSUMMATE A SALE OF SECURITIES UNLESS IT IS ACCOMPANIED BY A PROSPECTUS SUPPLEMENT.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have provided or incorporated by reference in this prospectus, any applicable prospectus supplement and any related free writing prospectus that we may authorize to be provided to you. We have not authorized any dealer, salesman or other person to give any information or to make any representation other than those contained or incorporated by reference in this prospectus, any applicable prospectus supplement or any related free writing prospectus that we may authorize to be provided to you. You must not rely upon any information or representation not contained or incorporated by reference in this prospectus, any applicable prospectus supplement or any related free writing prospectus.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assume that the information contained in this prospectus, any applicable prospectus supplement or any related free writing prospectus is accurate on any date subsequent to the date of such document or that any information we have incorporated by reference is accurate on any date subsequent to the date of such document incorporated by reference, even though this prospectus, any applicable prospectus supplement or any related free writing prospectus is delivered, and securities are sold, on a later date.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forms a part, and you may obtain copies of those documents as described below under the heading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ii</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8" w:name="a_002"/>
      <w:bookmarkEnd w:id="18"/>
      <w:r>
        <w:rPr>
          <w:rFonts w:ascii="Times New Roman;Times;Serif" w:hAnsi="Times New Roman;Times;Serif"/>
          <w:b/>
          <w:i w:val="false"/>
          <w:caps w:val="false"/>
          <w:smallCaps w:val="false"/>
          <w:sz w:val="20"/>
        </w:rPr>
        <w:t>PROSPECTUS SUMMARY</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forms a part.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as used in this prospectus, the terms “we,” “us,” “our,” “NeOnc,” the “Company” and similar designations refer to NeOnc Technologies Holdings, Inc., a Delaware corporation.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NeOnc Technologies Holdings, Inc.</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(f/k/a NAS-ONC, Inc.) was formed in 2008, devoted to developing new drugs with new delivery modes. As a clinical-stage biopharmaceutical company, we have focused on establishing treatments for intracranial malignancies, i.e., aggressive cancers located in the brain. These cancer types include primary brain cancers, such as glioblastoma, and secondary brain cancers, that have arrived through metastatic spread from other cancers throughout the body, such as melanoma or breast and lung cancer. Brain-localized malignancies are particularly difficult to treat because the blood-brain barrier prevents efficient entry of most pharmacotherapeutic agents into the brain. As a result, these patients are faced with poor prognoses and shortened average life expectancy. NeOnc is developing novel drug delivery methods to be used in combination with novel drug candidates.</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NeOnc has two lead products in development: NEO100 and NEO212. NEO100 is a purified form of perillyl alcohol (“POH”) which is administered to brain cancer patients via intranasal delivery. Ongoing activities for intranasal delivery of NEO100:</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We have completed human testing in a Phase I clinical trial and are currently conducting a Phase IIa trial with recurrent malignant glioma (Grade IV, IDH1 mutant and Grade III Astrocytoma, IDH1 mutant) patients.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A similar Phase IIa trial of intranasal NEO100 (NEO 100-02) for patients with malignant skull-based meningioma is also ongoing. Meningiomas are slow-growing tumors originating in the meninges, the membranous layers surrounding the brain and spinal cord. We initiated this because these patients lack effective treatment options. These tumors are notoriously difficult to access, and conventional methods like surgery often lead to significant neurological deficits. Additionally, radiation therapy has shown limited effectiveness. The trial was officially launched in July 2023. As NEO100 uses the same treatment platform as the malignant gliomas, we bypassed the Phase I trial and received FDA approval for a Phase II trial within just 30 days.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Separate from this single-drug application, NEO100 is further being investigated as a drug delivery vehicle, where the results of NeOnc’s preclinical studies suggest evidence that the combination of NEO100 with other drugs may enable a patient’s improved brain tumor delivery via the intranasal route. Intranasal NEO100, mixed with levodopa (L-DOPA), is in the planning stages for a clinical trial in patients with Parkinson’s disease (PD). NeOnc’s laboratory experiments showed that intranasal NEO100 mixed with levodopa was able to reverse PD symptoms in mice. A Phase I clinical trial is planned to study the impact on human patients.</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initial application for the Phase I/IIa trial for NEO 100 focused on an enrollment population with recurrent glioblastoma. Based on our Phase I results, NEO 100 showed more promise in patients with IDH1,2 mutant Grade IV astrocytomas. However, this patient population represented less than 5-10 percent of all patients with recurrent glioblastoma. As we planned for a total of 31 patients for Phase IIa in our initial analysis, enrollment of recurrent Grade IV, IDH1,2 mutants was limited due to the fact that only 5-10 percent of Grade IV astrocytomas have IDH1,2 mutations. Independent biostatistical review of clinical progression patterns of recurrent IDH1,2 mutated Grade III astrocytomas compared to recurrent IDH1,2 mutated Grade IV astrocytomas revealed that these two tumors have the same prognosis. As a result, in June 2023 we requested that the FDA not object to the inclusion of patients with recurrent Grade III IDH1,2 mutant astrocytomas in the Phase IIa trial. The FDA did not object and, as a result,</w:t>
      </w:r>
    </w:p>
    <w:p>
      <w:pPr>
        <w:pStyle w:val="TextBody"/>
        <w:bidi w:val="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jc w:val="center"/>
        <w:rPr/>
      </w:pPr>
      <w:r>
        <w:rPr/>
        <w:t> </w:t>
      </w:r>
    </w:p>
    <w:p>
      <w:pPr>
        <w:pStyle w:val="TextBody"/>
        <w:bidi w:val="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population of patients available to be enrolled is now much larger. Because the prognosis of recurrent Grade III IDH1,2 mutants is similar to recurrent IDH1,2 Grade IV astrocytomas, the number of patients needed to be enrolled in the Phase IIa trial to assess the clinical efficacy of NEO100 in the population of high grade astrocytomas did not change. The expanded patient population means that there are a significant number of additional patients that can be targeted for potential enrollment in the Phase IIa study; in an initial review, we have identified approximately 80 grade III IDH1,2 mutation-positive candidates. Patients with residual measurable disease are now followed via MRI scans to determine if there is progression, (recurrent disease), making them eligible for enrollment. We believe this focused enrollment strategy for Grade III and IV IDH1/2-mutant patients has the potential to support a more efficient trial process. Based on our current planning assumptions, we believe a Phase II data readout for NEO100 may be achievable by the end of 2026.</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lead product, NEO212, a covalently conjugated molecule combining the chemotherapeutic drug temozolomide with perillyl alcohol, has completed preclinical testing and has received investigational new drug (IND) approval from the United States Food and Drug Administration (FDA), i.e., it has been authorized to proceed to clinical testing in cancer patients. We have designed a Phase I/II trial for oral NEO212, which began in the fourth quarter of 2023. In this trial, NEO212 will be administered orally to patients with primary brain tumors (i.e., malignant gliomas) and secondary brain tumors (i.e., brain metastases derived from peripheral tumors, such as tumors of the lung, breast, skin/melanoma, etc.). Furthermore, NEO212 is undergoing development towards intranasal application specifically for patients with uncontrolled brain metastases derived from peripheral tumors (lung, breast, skin, etc.), but has not yet been studied in human patients.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none of our product candidates have been approved for sale in the United States or elsewhere. We have no commercial products nor do we have a sales or marketing infrastructure. In order to market and sell our products we must conduct clinical trials on patients and obtain regulatory approvals from appropriate regulatory agencies, like the FDA in the United States, and similar organizations elsewhere in the world.</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any revenue from product sales and from January 1, 2023 to December 31, 2025 have only generated revenue of $122,990. We do not anticipate generating significant revenues for the foreseeable future. We had net loss of $62,146,210 and $11,898,464 for the years ended December 31, 2025 and 2024, respectively. At December 31, 2025, we had an accumulated deficit of $112,754,655.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related to our business and operations, please refer to the reports incorporated herein by reference, as described under the caption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on page 24 of this prospectus.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NeOnc Technologies Holdings, Inc. (“NeOnc” or the “Company”) was incorporated in the State of Delaware. The Company was formed as a holding company in connection with a share exchange transaction completed on April 7, 2023, pursuant to which all of the common stockholders of NeOnc Technologies, Inc. (“NTI”), the Company’s wholly owned operating subsidiary, exchanged their shares in NTI for shares of common stock of the Company. NTI was originally incorporated in California in 2008 under the name NAS-ONC, Inc. and subsequently redomiciled and renamed NeOnc Technologies, Inc. Following the share exchange, NTI became a wholly owned subsidiary of the Company, which conducts all of the Company’s research and development and clinical operations.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principal executive office is located at 23975 Park Sorrento, Suite 205, Calabasas, CA 91302, and our telephone number is (310) 663-7831. Our website address is </w:t>
      </w:r>
      <w:r>
        <w:rPr>
          <w:rFonts w:ascii="Times New Roman;Times;Serif" w:hAnsi="Times New Roman;Times;Serif"/>
          <w:b w:val="false"/>
          <w:i/>
          <w:caps w:val="false"/>
          <w:smallCaps w:val="false"/>
          <w:sz w:val="20"/>
        </w:rPr>
        <w:t>www.neonc.com/</w:t>
      </w:r>
      <w:r>
        <w:rPr>
          <w:rFonts w:ascii="Times New Roman;Times;Serif" w:hAnsi="Times New Roman;Times;Serif"/>
          <w:b w:val="false"/>
          <w:i w:val="false"/>
          <w:caps w:val="false"/>
          <w:smallCaps w:val="false"/>
          <w:sz w:val="20"/>
        </w:rPr>
        <w:t>. Our website and the information contained on, or that can be accessed through, our website shall not be deemed to be incorporated by reference in, and are not considered part of, this prospectus. You should not rely on any such information in making your decision whether to purchase our Common Stock.</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Reports on Form 10-K, Quarterly Reports on Form 10-Q, Current Reports on Form 8-K and all amendments to those reports filed or furnished pursuant to Section 13(a) or 15(d) of the Securities Exchange Act of 1934, as amended (the “Exchange Act”) are available free of charge through the investor relations page of our website as soon as reasonably practicable after we electronically file such material with, or furnish it to, the SEC.</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We May Offer Under This Prospectus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shares of our Common Stock, preferred stock, various series of debt securities and warrants to purchase any of such securities, or units to purchase any combination thereof, with a total value of up to $300,000,000 from time to time under this prospectus, together with any applicable prospectus supplement and any related free writing prospectus,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pStyle w:val="TextBody"/>
        <w:bidi w:val="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23"/>
        <w:gridCol w:w="170"/>
        <w:gridCol w:w="269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2690" w:type="dxa"/>
            <w:tcBorders/>
            <w:vAlign w:val="center"/>
          </w:tcPr>
          <w:p>
            <w:pPr>
              <w:pStyle w:val="TableContents"/>
              <w:bidi w:val="0"/>
              <w:spacing w:before="0" w:after="283"/>
              <w:jc w:val="both"/>
              <w:rPr/>
            </w:pPr>
            <w:r>
              <w:rPr/>
              <w:t>designation or classification;</w:t>
            </w:r>
          </w:p>
        </w:tc>
      </w:tr>
    </w:tbl>
    <w:p>
      <w:pPr>
        <w:pStyle w:val="TextBody"/>
        <w:bidi w:val="0"/>
        <w:jc w:val="left"/>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23"/>
        <w:gridCol w:w="170"/>
        <w:gridCol w:w="521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5210" w:type="dxa"/>
            <w:tcBorders/>
            <w:vAlign w:val="center"/>
          </w:tcPr>
          <w:p>
            <w:pPr>
              <w:pStyle w:val="TableContents"/>
              <w:bidi w:val="0"/>
              <w:spacing w:before="0" w:after="283"/>
              <w:jc w:val="both"/>
              <w:rPr/>
            </w:pPr>
            <w:r>
              <w:rPr/>
              <w:t>aggregate principal amount or aggregate offering price;</w:t>
            </w:r>
          </w:p>
        </w:tc>
      </w:tr>
    </w:tbl>
    <w:p>
      <w:pPr>
        <w:pStyle w:val="TextBody"/>
        <w:bidi w:val="0"/>
        <w:jc w:val="left"/>
        <w:rPr>
          <w:caps w:val="false"/>
          <w:smallCaps w:val="false"/>
        </w:rPr>
      </w:pPr>
      <w:r>
        <w:rPr>
          <w:caps w:val="false"/>
          <w:smallCaps w:val="false"/>
        </w:rPr>
        <w:t> </w:t>
      </w:r>
    </w:p>
    <w:tbl>
      <w:tblPr>
        <w:tblW w:w="2328" w:type="dxa"/>
        <w:jc w:val="left"/>
        <w:tblInd w:w="0" w:type="dxa"/>
        <w:tblLayout w:type="fixed"/>
        <w:tblCellMar>
          <w:top w:w="0" w:type="dxa"/>
          <w:left w:w="0" w:type="dxa"/>
          <w:bottom w:w="0" w:type="dxa"/>
          <w:right w:w="0" w:type="dxa"/>
        </w:tblCellMar>
      </w:tblPr>
      <w:tblGrid>
        <w:gridCol w:w="23"/>
        <w:gridCol w:w="170"/>
        <w:gridCol w:w="213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2135" w:type="dxa"/>
            <w:tcBorders/>
            <w:vAlign w:val="center"/>
          </w:tcPr>
          <w:p>
            <w:pPr>
              <w:pStyle w:val="TableContents"/>
              <w:bidi w:val="0"/>
              <w:spacing w:before="0" w:after="283"/>
              <w:jc w:val="both"/>
              <w:rPr/>
            </w:pPr>
            <w:r>
              <w:rPr/>
              <w:t>maturity, if applicable;</w:t>
            </w:r>
          </w:p>
        </w:tc>
      </w:tr>
    </w:tbl>
    <w:p>
      <w:pPr>
        <w:pStyle w:val="TextBody"/>
        <w:bidi w:val="0"/>
        <w:jc w:val="left"/>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23"/>
        <w:gridCol w:w="170"/>
        <w:gridCol w:w="284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2840" w:type="dxa"/>
            <w:tcBorders/>
            <w:vAlign w:val="center"/>
          </w:tcPr>
          <w:p>
            <w:pPr>
              <w:pStyle w:val="TableContents"/>
              <w:bidi w:val="0"/>
              <w:spacing w:before="0" w:after="283"/>
              <w:jc w:val="both"/>
              <w:rPr/>
            </w:pPr>
            <w:r>
              <w:rPr/>
              <w:t>original issue discount, if any;</w:t>
            </w:r>
          </w:p>
        </w:tc>
      </w:tr>
    </w:tbl>
    <w:p>
      <w:pPr>
        <w:pStyle w:val="TextBody"/>
        <w:bidi w:val="0"/>
        <w:jc w:val="left"/>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23"/>
        <w:gridCol w:w="170"/>
        <w:gridCol w:w="548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5480" w:type="dxa"/>
            <w:tcBorders/>
            <w:vAlign w:val="center"/>
          </w:tcPr>
          <w:p>
            <w:pPr>
              <w:pStyle w:val="TableContents"/>
              <w:bidi w:val="0"/>
              <w:spacing w:before="0" w:after="283"/>
              <w:jc w:val="both"/>
              <w:rPr/>
            </w:pPr>
            <w:r>
              <w:rPr/>
              <w:t>rates and times of payment of interest or dividends, if any;</w:t>
            </w:r>
          </w:p>
        </w:tc>
      </w:tr>
    </w:tbl>
    <w:p>
      <w:pPr>
        <w:pStyle w:val="TextBody"/>
        <w:bidi w:val="0"/>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23"/>
        <w:gridCol w:w="170"/>
        <w:gridCol w:w="605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6050" w:type="dxa"/>
            <w:tcBorders/>
            <w:vAlign w:val="center"/>
          </w:tcPr>
          <w:p>
            <w:pPr>
              <w:pStyle w:val="TableContents"/>
              <w:bidi w:val="0"/>
              <w:spacing w:before="0" w:after="283"/>
              <w:jc w:val="both"/>
              <w:rPr/>
            </w:pPr>
            <w:r>
              <w:rPr/>
              <w:t>redemption, conversion, exchange or sinking fund terms, if 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conversion or exchange prices or rates, if any, and, if applicable, any provisions for changes to or adjustments in the conversion or exchange prices or rates and in the securities or other property receivable upon conversion or exchange;</w:t>
            </w:r>
          </w:p>
        </w:tc>
      </w:tr>
    </w:tbl>
    <w:p>
      <w:pPr>
        <w:pStyle w:val="TextBody"/>
        <w:bidi w:val="0"/>
        <w:jc w:val="left"/>
        <w:rPr>
          <w:caps w:val="false"/>
          <w:smallCaps w:val="false"/>
        </w:rPr>
      </w:pPr>
      <w:r>
        <w:rPr>
          <w:caps w:val="false"/>
          <w:smallCaps w:val="false"/>
        </w:rPr>
        <w:t> </w:t>
      </w:r>
    </w:p>
    <w:tbl>
      <w:tblPr>
        <w:tblW w:w="993" w:type="dxa"/>
        <w:jc w:val="left"/>
        <w:tblInd w:w="0" w:type="dxa"/>
        <w:tblLayout w:type="fixed"/>
        <w:tblCellMar>
          <w:top w:w="0" w:type="dxa"/>
          <w:left w:w="0" w:type="dxa"/>
          <w:bottom w:w="0" w:type="dxa"/>
          <w:right w:w="0" w:type="dxa"/>
        </w:tblCellMar>
      </w:tblPr>
      <w:tblGrid>
        <w:gridCol w:w="23"/>
        <w:gridCol w:w="170"/>
        <w:gridCol w:w="80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800" w:type="dxa"/>
            <w:tcBorders/>
            <w:vAlign w:val="center"/>
          </w:tcPr>
          <w:p>
            <w:pPr>
              <w:pStyle w:val="TableContents"/>
              <w:bidi w:val="0"/>
              <w:spacing w:before="0" w:after="283"/>
              <w:jc w:val="both"/>
              <w:rPr/>
            </w:pPr>
            <w:r>
              <w:rPr/>
              <w:t>ranking;</w:t>
            </w:r>
          </w:p>
        </w:tc>
      </w:tr>
    </w:tbl>
    <w:p>
      <w:pPr>
        <w:pStyle w:val="TextBody"/>
        <w:bidi w:val="0"/>
        <w:jc w:val="left"/>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23"/>
        <w:gridCol w:w="170"/>
        <w:gridCol w:w="266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2660" w:type="dxa"/>
            <w:tcBorders/>
            <w:vAlign w:val="center"/>
          </w:tcPr>
          <w:p>
            <w:pPr>
              <w:pStyle w:val="TableContents"/>
              <w:bidi w:val="0"/>
              <w:spacing w:before="0" w:after="283"/>
              <w:jc w:val="both"/>
              <w:rPr/>
            </w:pPr>
            <w:r>
              <w:rPr/>
              <w:t>restrictive covenants, if any;</w:t>
            </w:r>
          </w:p>
        </w:tc>
      </w:tr>
    </w:tbl>
    <w:p>
      <w:pPr>
        <w:pStyle w:val="TextBody"/>
        <w:bidi w:val="0"/>
        <w:jc w:val="left"/>
        <w:rPr>
          <w:caps w:val="false"/>
          <w:smallCaps w:val="false"/>
        </w:rPr>
      </w:pPr>
      <w:r>
        <w:rPr>
          <w:caps w:val="false"/>
          <w:smallCaps w:val="false"/>
        </w:rPr>
        <w:t> </w:t>
      </w:r>
    </w:p>
    <w:tbl>
      <w:tblPr>
        <w:tblW w:w="3318" w:type="dxa"/>
        <w:jc w:val="left"/>
        <w:tblInd w:w="0" w:type="dxa"/>
        <w:tblLayout w:type="fixed"/>
        <w:tblCellMar>
          <w:top w:w="0" w:type="dxa"/>
          <w:left w:w="0" w:type="dxa"/>
          <w:bottom w:w="0" w:type="dxa"/>
          <w:right w:w="0" w:type="dxa"/>
        </w:tblCellMar>
      </w:tblPr>
      <w:tblGrid>
        <w:gridCol w:w="23"/>
        <w:gridCol w:w="170"/>
        <w:gridCol w:w="312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3125" w:type="dxa"/>
            <w:tcBorders/>
            <w:vAlign w:val="center"/>
          </w:tcPr>
          <w:p>
            <w:pPr>
              <w:pStyle w:val="TableContents"/>
              <w:bidi w:val="0"/>
              <w:spacing w:before="0" w:after="283"/>
              <w:jc w:val="both"/>
              <w:rPr/>
            </w:pPr>
            <w:r>
              <w:rPr/>
              <w:t>voting or other rights, if any; and</w:t>
            </w:r>
          </w:p>
        </w:tc>
      </w:tr>
    </w:tbl>
    <w:p>
      <w:pPr>
        <w:pStyle w:val="TextBody"/>
        <w:bidi w:val="0"/>
        <w:jc w:val="left"/>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23"/>
        <w:gridCol w:w="170"/>
        <w:gridCol w:w="551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5510" w:type="dxa"/>
            <w:tcBorders/>
            <w:vAlign w:val="center"/>
          </w:tcPr>
          <w:p>
            <w:pPr>
              <w:pStyle w:val="TableContents"/>
              <w:bidi w:val="0"/>
              <w:spacing w:before="0" w:after="283"/>
              <w:jc w:val="both"/>
              <w:rPr/>
            </w:pPr>
            <w:r>
              <w:rPr/>
              <w:t>important United States federal income tax considerations.</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forms a part.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pStyle w:val="TextBody"/>
        <w:bidi w:val="0"/>
        <w:jc w:val="left"/>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23"/>
        <w:gridCol w:w="170"/>
        <w:gridCol w:w="399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3995" w:type="dxa"/>
            <w:tcBorders/>
            <w:vAlign w:val="center"/>
          </w:tcPr>
          <w:p>
            <w:pPr>
              <w:pStyle w:val="TableContents"/>
              <w:bidi w:val="0"/>
              <w:spacing w:before="0" w:after="283"/>
              <w:jc w:val="both"/>
              <w:rPr/>
            </w:pPr>
            <w:r>
              <w:rPr/>
              <w:t>the names of those underwriters or agents;</w:t>
            </w:r>
          </w:p>
        </w:tc>
      </w:tr>
    </w:tbl>
    <w:p>
      <w:pPr>
        <w:pStyle w:val="TextBody"/>
        <w:bidi w:val="0"/>
        <w:jc w:val="left"/>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23"/>
        <w:gridCol w:w="170"/>
        <w:gridCol w:w="591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5915" w:type="dxa"/>
            <w:tcBorders/>
            <w:vAlign w:val="center"/>
          </w:tcPr>
          <w:p>
            <w:pPr>
              <w:pStyle w:val="TableContents"/>
              <w:bidi w:val="0"/>
              <w:spacing w:before="0" w:after="283"/>
              <w:jc w:val="both"/>
              <w:rPr/>
            </w:pPr>
            <w:r>
              <w:rPr/>
              <w:t>applicable fees, discounts and commissions to be paid to them;</w:t>
            </w:r>
          </w:p>
        </w:tc>
      </w:tr>
    </w:tbl>
    <w:p>
      <w:pPr>
        <w:pStyle w:val="TextBody"/>
        <w:bidi w:val="0"/>
        <w:jc w:val="left"/>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23"/>
        <w:gridCol w:w="170"/>
        <w:gridCol w:w="488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4880" w:type="dxa"/>
            <w:tcBorders/>
            <w:vAlign w:val="center"/>
          </w:tcPr>
          <w:p>
            <w:pPr>
              <w:pStyle w:val="TableContents"/>
              <w:bidi w:val="0"/>
              <w:spacing w:before="0" w:after="283"/>
              <w:jc w:val="both"/>
              <w:rPr/>
            </w:pPr>
            <w:r>
              <w:rPr/>
              <w:t>details regarding over-allotment options, if any; and</w:t>
            </w:r>
          </w:p>
        </w:tc>
      </w:tr>
    </w:tbl>
    <w:p>
      <w:pPr>
        <w:pStyle w:val="TextBody"/>
        <w:bidi w:val="0"/>
        <w:jc w:val="left"/>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23"/>
        <w:gridCol w:w="170"/>
        <w:gridCol w:w="306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3065" w:type="dxa"/>
            <w:tcBorders/>
            <w:vAlign w:val="center"/>
          </w:tcPr>
          <w:p>
            <w:pPr>
              <w:pStyle w:val="TableContents"/>
              <w:bidi w:val="0"/>
              <w:spacing w:before="0" w:after="283"/>
              <w:jc w:val="both"/>
              <w:rPr/>
            </w:pPr>
            <w:r>
              <w:rPr/>
              <w:t>the estimated net proceeds to us.</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may not be used to consummate a sale of securities unless it is accompanied by a prospectus supplement.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9" w:name="a_003"/>
      <w:bookmarkEnd w:id="19"/>
      <w:r>
        <w:rPr>
          <w:rFonts w:ascii="Times New Roman;Times;Serif" w:hAnsi="Times New Roman;Times;Serif"/>
          <w:b/>
          <w:i w:val="false"/>
          <w:caps w:val="false"/>
          <w:smallCaps w:val="false"/>
          <w:sz w:val="20"/>
        </w:rPr>
        <w:t>RISK FACTORS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You should carefully review the risks and uncertainties described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the applicable prospectus supplement and any related free writing prospectus, and under similar headings in the other documents that are incorporated by reference into this prospectus, before deciding whether to purchase any of the securities being registered pursuant to the registration statement of which this prospectus forms a part. The risks and uncertainties described in these risk factors are not the only ones facing us. Additional risks and uncertainties of which we are currently unaware or which we currently consider to be immaterial may also become important factors that affect us. You should read the section entitled “</w:t>
      </w:r>
      <w:r>
        <w:rPr>
          <w:rFonts w:ascii="Times New Roman;Times;Serif" w:hAnsi="Times New Roman;Times;Serif"/>
          <w:b w:val="false"/>
          <w:i/>
          <w:caps w:val="false"/>
          <w:smallCaps w:val="false"/>
          <w:sz w:val="20"/>
        </w:rPr>
        <w:t>Special Note Regarding Forward-Looking Statements</w:t>
      </w:r>
      <w:r>
        <w:rPr>
          <w:rFonts w:ascii="Times New Roman;Times;Serif" w:hAnsi="Times New Roman;Times;Serif"/>
          <w:b w:val="false"/>
          <w:i w:val="false"/>
          <w:caps w:val="false"/>
          <w:smallCaps w:val="false"/>
          <w:sz w:val="20"/>
        </w:rPr>
        <w:t>” below for a discussion of what types of statements are forward-looking statements, as well as the significance of such statements in the context of this prospectus. If any of these risks occur, our business, financial condition or results of operations could be materially and adversely affected. In that case, the value of our Common Stock could decline, and you may lose some or all of your investment.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4</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0" w:name="a_004"/>
      <w:bookmarkEnd w:id="20"/>
      <w:r>
        <w:rPr>
          <w:rFonts w:ascii="Times New Roman;Times;Serif" w:hAnsi="Times New Roman;Times;Serif"/>
          <w:b/>
          <w:i w:val="false"/>
          <w:caps w:val="false"/>
          <w:smallCaps w:val="false"/>
          <w:sz w:val="20"/>
        </w:rPr>
        <w:t>SPECIAL NOTE REGARDING FORWARD-LOOKING STATEMENTS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into this prospectus contain forward-looking statements regarding our business, financial condition, results of operations and prospects. Words such as, but not limited to “anticipate,” “aim,” “believe,” “contemplate,” “continue,” “could,” “estimate,” “expect,” “intend,” “may,” “might,” “plan,” “possible,” “potential,” “predict,” “pro forma,” “project,” “seek,” “should,” “suggest,” “strategy,” “target,” “will,” “would,” and similar expressions or variations thereof are intended to identify forward-looking statements, but are not deemed to represent an all-inclusive means of identifying forward-looking statements as denoted in this prospectus. Additionally, statements concerning future matters are forward-looking statements. These statements include, among other things, statements regarding: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timing, progress and results of preclinical studies and clinical trials for our current and future product candidates, including statements regarding the timing of initiation and completion of studies or trials and related preparatory work, the period during which the results of the trials will become available and our research and development programs;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timing, scope or likelihood of regulatory submissions, filings, and approvals, including final regulatory approval of our product candidates;</w:t>
            </w:r>
          </w:p>
        </w:tc>
      </w:tr>
    </w:tbl>
    <w:p>
      <w:pPr>
        <w:pStyle w:val="TextBody"/>
        <w:bidi w:val="0"/>
        <w:jc w:val="left"/>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23"/>
        <w:gridCol w:w="170"/>
        <w:gridCol w:w="947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9470" w:type="dxa"/>
            <w:tcBorders/>
            <w:vAlign w:val="center"/>
          </w:tcPr>
          <w:p>
            <w:pPr>
              <w:pStyle w:val="TableContents"/>
              <w:bidi w:val="0"/>
              <w:spacing w:before="0" w:after="283"/>
              <w:jc w:val="both"/>
              <w:rPr/>
            </w:pPr>
            <w:r>
              <w:rPr/>
              <w:t>our ability to develop and advance product candidates into, and successfully complete, clinical trials;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our expectations regarding the size of the patient populations for our product candidates, if approved for commercial use;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implementation of our business model and our strategic plans for our business, product candidates and technology;</w:t>
            </w:r>
          </w:p>
        </w:tc>
      </w:tr>
    </w:tbl>
    <w:p>
      <w:pPr>
        <w:pStyle w:val="TextBody"/>
        <w:bidi w:val="0"/>
        <w:jc w:val="left"/>
        <w:rPr>
          <w:caps w:val="false"/>
          <w:smallCaps w:val="false"/>
        </w:rPr>
      </w:pPr>
      <w:r>
        <w:rPr>
          <w:caps w:val="false"/>
          <w:smallCaps w:val="false"/>
        </w:rPr>
        <w:t> </w:t>
      </w:r>
    </w:p>
    <w:tbl>
      <w:tblPr>
        <w:tblW w:w="7578" w:type="dxa"/>
        <w:jc w:val="left"/>
        <w:tblInd w:w="0" w:type="dxa"/>
        <w:tblLayout w:type="fixed"/>
        <w:tblCellMar>
          <w:top w:w="0" w:type="dxa"/>
          <w:left w:w="0" w:type="dxa"/>
          <w:bottom w:w="0" w:type="dxa"/>
          <w:right w:w="0" w:type="dxa"/>
        </w:tblCellMar>
      </w:tblPr>
      <w:tblGrid>
        <w:gridCol w:w="23"/>
        <w:gridCol w:w="170"/>
        <w:gridCol w:w="738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7385" w:type="dxa"/>
            <w:tcBorders/>
            <w:vAlign w:val="center"/>
          </w:tcPr>
          <w:p>
            <w:pPr>
              <w:pStyle w:val="TableContents"/>
              <w:bidi w:val="0"/>
              <w:spacing w:before="0" w:after="283"/>
              <w:jc w:val="both"/>
              <w:rPr/>
            </w:pPr>
            <w:r>
              <w:rPr/>
              <w:t>our commercialization, marketing and manufacturing capabilities and strategy;</w:t>
            </w:r>
          </w:p>
        </w:tc>
      </w:tr>
    </w:tbl>
    <w:p>
      <w:pPr>
        <w:pStyle w:val="TextBody"/>
        <w:bidi w:val="0"/>
        <w:jc w:val="left"/>
        <w:rPr>
          <w:caps w:val="false"/>
          <w:smallCaps w:val="false"/>
        </w:rPr>
      </w:pPr>
      <w:r>
        <w:rPr>
          <w:caps w:val="false"/>
          <w:smallCaps w:val="false"/>
        </w:rPr>
        <w:t> </w:t>
      </w:r>
    </w:p>
    <w:tbl>
      <w:tblPr>
        <w:tblW w:w="6798" w:type="dxa"/>
        <w:jc w:val="left"/>
        <w:tblInd w:w="0" w:type="dxa"/>
        <w:tblLayout w:type="fixed"/>
        <w:tblCellMar>
          <w:top w:w="0" w:type="dxa"/>
          <w:left w:w="0" w:type="dxa"/>
          <w:bottom w:w="0" w:type="dxa"/>
          <w:right w:w="0" w:type="dxa"/>
        </w:tblCellMar>
      </w:tblPr>
      <w:tblGrid>
        <w:gridCol w:w="23"/>
        <w:gridCol w:w="170"/>
        <w:gridCol w:w="660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6605" w:type="dxa"/>
            <w:tcBorders/>
            <w:vAlign w:val="center"/>
          </w:tcPr>
          <w:p>
            <w:pPr>
              <w:pStyle w:val="TableContents"/>
              <w:bidi w:val="0"/>
              <w:spacing w:before="0" w:after="283"/>
              <w:jc w:val="both"/>
              <w:rPr/>
            </w:pPr>
            <w:r>
              <w:rPr/>
              <w:t>the pricing and reimbursement of our product candidates, if approved;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rate and degree of market acceptance and clinical utility of our product candidates, in particular, and cell therapy, in general;</w:t>
            </w:r>
          </w:p>
        </w:tc>
      </w:tr>
    </w:tbl>
    <w:p>
      <w:pPr>
        <w:pStyle w:val="TextBody"/>
        <w:bidi w:val="0"/>
        <w:jc w:val="left"/>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23"/>
        <w:gridCol w:w="170"/>
        <w:gridCol w:w="968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9680" w:type="dxa"/>
            <w:tcBorders/>
            <w:vAlign w:val="center"/>
          </w:tcPr>
          <w:p>
            <w:pPr>
              <w:pStyle w:val="TableContents"/>
              <w:bidi w:val="0"/>
              <w:spacing w:before="0" w:after="283"/>
              <w:jc w:val="both"/>
              <w:rPr/>
            </w:pPr>
            <w:r>
              <w:rPr/>
              <w:t>our ability to establish or maintain collaborations or strategic relationships or obtain additional funding;</w:t>
            </w:r>
          </w:p>
        </w:tc>
      </w:tr>
    </w:tbl>
    <w:p>
      <w:pPr>
        <w:pStyle w:val="TextBody"/>
        <w:bidi w:val="0"/>
        <w:jc w:val="left"/>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23"/>
        <w:gridCol w:w="170"/>
        <w:gridCol w:w="236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2360" w:type="dxa"/>
            <w:tcBorders/>
            <w:vAlign w:val="center"/>
          </w:tcPr>
          <w:p>
            <w:pPr>
              <w:pStyle w:val="TableContents"/>
              <w:bidi w:val="0"/>
              <w:spacing w:before="0" w:after="283"/>
              <w:jc w:val="both"/>
              <w:rPr/>
            </w:pPr>
            <w:r>
              <w:rPr/>
              <w:t>our competitive position;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scope of protection we and/or our licensors are able to establish and maintain for intellectual property rights covering our product candidates;</w:t>
            </w:r>
          </w:p>
        </w:tc>
      </w:tr>
    </w:tbl>
    <w:p>
      <w:pPr>
        <w:pStyle w:val="TextBody"/>
        <w:bidi w:val="0"/>
        <w:jc w:val="left"/>
        <w:rPr>
          <w:caps w:val="false"/>
          <w:smallCaps w:val="false"/>
        </w:rPr>
      </w:pPr>
      <w:r>
        <w:rPr>
          <w:caps w:val="false"/>
          <w:smallCaps w:val="false"/>
        </w:rPr>
        <w:t> </w:t>
      </w:r>
    </w:p>
    <w:tbl>
      <w:tblPr>
        <w:tblW w:w="7218" w:type="dxa"/>
        <w:jc w:val="left"/>
        <w:tblInd w:w="0" w:type="dxa"/>
        <w:tblLayout w:type="fixed"/>
        <w:tblCellMar>
          <w:top w:w="0" w:type="dxa"/>
          <w:left w:w="0" w:type="dxa"/>
          <w:bottom w:w="0" w:type="dxa"/>
          <w:right w:w="0" w:type="dxa"/>
        </w:tblCellMar>
      </w:tblPr>
      <w:tblGrid>
        <w:gridCol w:w="23"/>
        <w:gridCol w:w="170"/>
        <w:gridCol w:w="702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7025" w:type="dxa"/>
            <w:tcBorders/>
            <w:vAlign w:val="center"/>
          </w:tcPr>
          <w:p>
            <w:pPr>
              <w:pStyle w:val="TableContents"/>
              <w:bidi w:val="0"/>
              <w:spacing w:before="0" w:after="283"/>
              <w:jc w:val="both"/>
              <w:rPr/>
            </w:pPr>
            <w:r>
              <w:rPr/>
              <w:t>developments and projections relating to our competitors and our industry;</w:t>
            </w:r>
          </w:p>
        </w:tc>
      </w:tr>
    </w:tbl>
    <w:p>
      <w:pPr>
        <w:pStyle w:val="TextBody"/>
        <w:bidi w:val="0"/>
        <w:jc w:val="left"/>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23"/>
        <w:gridCol w:w="170"/>
        <w:gridCol w:w="995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9950" w:type="dxa"/>
            <w:tcBorders/>
            <w:vAlign w:val="center"/>
          </w:tcPr>
          <w:p>
            <w:pPr>
              <w:pStyle w:val="TableContents"/>
              <w:bidi w:val="0"/>
              <w:spacing w:before="0" w:after="283"/>
              <w:jc w:val="both"/>
              <w:rPr/>
            </w:pPr>
            <w:r>
              <w:rPr/>
              <w:t>our estimates regarding expenses, future revenue, capital requirements and needs for additional financing;</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period over which we estimate our existing cash and cash equivalents will be sufficient to fund our future operating expenses and capital expenditure requirements;</w:t>
            </w:r>
          </w:p>
        </w:tc>
      </w:tr>
    </w:tbl>
    <w:p>
      <w:pPr>
        <w:pStyle w:val="TextBody"/>
        <w:bidi w:val="0"/>
        <w:jc w:val="left"/>
        <w:rPr>
          <w:caps w:val="false"/>
          <w:smallCaps w:val="false"/>
        </w:rPr>
      </w:pPr>
      <w:r>
        <w:rPr>
          <w:caps w:val="false"/>
          <w:smallCaps w:val="false"/>
        </w:rPr>
        <w:t> </w:t>
      </w:r>
    </w:p>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3710" w:type="dxa"/>
            <w:tcBorders/>
            <w:vAlign w:val="center"/>
          </w:tcPr>
          <w:p>
            <w:pPr>
              <w:pStyle w:val="TableContents"/>
              <w:bidi w:val="0"/>
              <w:spacing w:before="0" w:after="283"/>
              <w:jc w:val="both"/>
              <w:rPr/>
            </w:pPr>
            <w:r>
              <w:rPr/>
              <w:t>the impact of laws and regulations; and</w:t>
            </w:r>
          </w:p>
        </w:tc>
      </w:tr>
    </w:tbl>
    <w:p>
      <w:pPr>
        <w:pStyle w:val="TextBody"/>
        <w:bidi w:val="0"/>
        <w:jc w:val="left"/>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23"/>
        <w:gridCol w:w="170"/>
        <w:gridCol w:w="570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5705" w:type="dxa"/>
            <w:tcBorders/>
            <w:vAlign w:val="center"/>
          </w:tcPr>
          <w:p>
            <w:pPr>
              <w:pStyle w:val="TableContents"/>
              <w:bidi w:val="0"/>
              <w:spacing w:before="0" w:after="283"/>
              <w:jc w:val="both"/>
              <w:rPr/>
            </w:pPr>
            <w:r>
              <w:rPr/>
              <w:t>other factors detailed under the section titled “</w:t>
            </w:r>
            <w:r>
              <w:rPr>
                <w:i/>
              </w:rPr>
              <w:t>Risk Factors</w:t>
            </w:r>
            <w:r>
              <w:rPr/>
              <w: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5</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forward-looking statements in this prospectus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contained in the applicable prospectus supplement and any related free writing prospectus, and under similar headings in the other documents that are incorporated by reference into this prospectus, including our most recent annual report on Form 10-K, as well as any amendments thereto reflected in subsequent filings with the SEC. Readers are urged not to place undue reliance on these forward-looking statements, which speak only as of the date made. We file reports with the Securities and Exchange Commission (the “SEC”), and our electronic filings with the SEC (including our annual reports on Form 10-K, quarterly reports on Form 10-Q and current reports on Form 8-K, and any amendments to these reports) are available free of charge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undertake no obligation to revise or update any forward-looking statements in order to reflect any event or circumstance that may arise after the date of this prospectus, except as required by law. Readers are urged to carefully review and consider the various disclosures made throughout the entirety of this prospectus, the applicable prospectus supplement and the documents incorporated by reference into this prospectus, which disclosures are designed to advise interested parties of the risks and factors that may affect our business, financial condition, results of operations and prospects.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6</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1" w:name="a_005"/>
      <w:bookmarkEnd w:id="21"/>
      <w:r>
        <w:rPr>
          <w:rFonts w:ascii="Times New Roman;Times;Serif" w:hAnsi="Times New Roman;Times;Serif"/>
          <w:b/>
          <w:i w:val="false"/>
          <w:caps w:val="false"/>
          <w:smallCaps w:val="false"/>
          <w:sz w:val="20"/>
        </w:rPr>
        <w:t>USE OF PROCEEDS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inform you otherwise in the applicable prospectus supplement, we expect to use any net proceeds from this offering for general corporate purposes, including working capital and other general and administrative purposes. We have not reserved or allocated specific amounts for any of these purposes and we cannot specify with certainty how we will use any net proceeds, and the timing and amount of our actual expenditures will be based on many factors, including, among others, cash flows from operations and any growth of our business. Our management will have broad discretion in applying any net proceeds of this offering.</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7</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2" w:name="a_006"/>
      <w:bookmarkEnd w:id="22"/>
      <w:r>
        <w:rPr>
          <w:rFonts w:ascii="Times New Roman;Times;Serif" w:hAnsi="Times New Roman;Times;Serif"/>
          <w:b/>
          <w:i w:val="false"/>
          <w:caps w:val="false"/>
          <w:smallCaps w:val="false"/>
          <w:sz w:val="20"/>
        </w:rPr>
        <w:t>PLAN OF DISTRIBUTION</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pStyle w:val="TextBody"/>
        <w:bidi w:val="0"/>
        <w:jc w:val="left"/>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23"/>
        <w:gridCol w:w="170"/>
        <w:gridCol w:w="465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4655" w:type="dxa"/>
            <w:tcBorders/>
            <w:vAlign w:val="center"/>
          </w:tcPr>
          <w:p>
            <w:pPr>
              <w:pStyle w:val="TableContents"/>
              <w:bidi w:val="0"/>
              <w:spacing w:before="0" w:after="283"/>
              <w:jc w:val="both"/>
              <w:rPr/>
            </w:pPr>
            <w:r>
              <w:rPr/>
              <w:t>at a fixed price or prices, which may be changed;</w:t>
            </w:r>
          </w:p>
        </w:tc>
      </w:tr>
    </w:tbl>
    <w:p>
      <w:pPr>
        <w:pStyle w:val="TextBody"/>
        <w:bidi w:val="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23"/>
        <w:gridCol w:w="170"/>
        <w:gridCol w:w="428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4280" w:type="dxa"/>
            <w:tcBorders/>
            <w:vAlign w:val="center"/>
          </w:tcPr>
          <w:p>
            <w:pPr>
              <w:pStyle w:val="TableContents"/>
              <w:bidi w:val="0"/>
              <w:spacing w:before="0" w:after="283"/>
              <w:jc w:val="both"/>
              <w:rPr/>
            </w:pPr>
            <w:r>
              <w:rPr/>
              <w:t>at market prices prevailing at the time of sale;</w:t>
            </w:r>
          </w:p>
        </w:tc>
      </w:tr>
    </w:tbl>
    <w:p>
      <w:pPr>
        <w:pStyle w:val="TextBody"/>
        <w:bidi w:val="0"/>
        <w:jc w:val="left"/>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23"/>
        <w:gridCol w:w="170"/>
        <w:gridCol w:w="486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4865" w:type="dxa"/>
            <w:tcBorders/>
            <w:vAlign w:val="center"/>
          </w:tcPr>
          <w:p>
            <w:pPr>
              <w:pStyle w:val="TableContents"/>
              <w:bidi w:val="0"/>
              <w:spacing w:before="0" w:after="283"/>
              <w:jc w:val="both"/>
              <w:rPr/>
            </w:pPr>
            <w:r>
              <w:rPr/>
              <w:t>at prices related to such prevailing market prices; or</w:t>
            </w:r>
          </w:p>
        </w:tc>
      </w:tr>
    </w:tbl>
    <w:p>
      <w:pPr>
        <w:pStyle w:val="TextBody"/>
        <w:bidi w:val="0"/>
        <w:jc w:val="left"/>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23"/>
        <w:gridCol w:w="170"/>
        <w:gridCol w:w="189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895" w:type="dxa"/>
            <w:tcBorders/>
            <w:vAlign w:val="center"/>
          </w:tcPr>
          <w:p>
            <w:pPr>
              <w:pStyle w:val="TableContents"/>
              <w:bidi w:val="0"/>
              <w:spacing w:before="0" w:after="283"/>
              <w:jc w:val="both"/>
              <w:rPr/>
            </w:pPr>
            <w:r>
              <w:rPr/>
              <w:t>at negotiated prices.</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the Nasdaq Global Market or any other securities exchange or quotation or trading service on which such securities may be listed, quoted or traded at the time of sale. Such at-the-market offerings, if any, may be conducted by underwriters acting as principal or agent.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or supplements (and any related free writing prospectus that we may authorize to be provided to you) will describe the terms of the offering of the securities, including, to the extent applicable:</w:t>
      </w:r>
    </w:p>
    <w:p>
      <w:pPr>
        <w:pStyle w:val="TextBody"/>
        <w:bidi w:val="0"/>
        <w:jc w:val="left"/>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23"/>
        <w:gridCol w:w="170"/>
        <w:gridCol w:w="611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6110" w:type="dxa"/>
            <w:tcBorders/>
            <w:vAlign w:val="center"/>
          </w:tcPr>
          <w:p>
            <w:pPr>
              <w:pStyle w:val="TableContents"/>
              <w:bidi w:val="0"/>
              <w:spacing w:before="0" w:after="283"/>
              <w:jc w:val="both"/>
              <w:rPr/>
            </w:pPr>
            <w:r>
              <w:rPr/>
              <w:t>the name or names of any underwriters, dealers or agents, if any;</w:t>
            </w:r>
          </w:p>
        </w:tc>
      </w:tr>
    </w:tbl>
    <w:p>
      <w:pPr>
        <w:pStyle w:val="TextBody"/>
        <w:bidi w:val="0"/>
        <w:jc w:val="left"/>
        <w:rPr>
          <w:caps w:val="false"/>
          <w:smallCaps w:val="false"/>
        </w:rPr>
      </w:pPr>
      <w:r>
        <w:rPr>
          <w:caps w:val="false"/>
          <w:smallCaps w:val="false"/>
        </w:rPr>
        <w:t> </w:t>
      </w:r>
    </w:p>
    <w:tbl>
      <w:tblPr>
        <w:tblW w:w="7938" w:type="dxa"/>
        <w:jc w:val="left"/>
        <w:tblInd w:w="0" w:type="dxa"/>
        <w:tblLayout w:type="fixed"/>
        <w:tblCellMar>
          <w:top w:w="0" w:type="dxa"/>
          <w:left w:w="0" w:type="dxa"/>
          <w:bottom w:w="0" w:type="dxa"/>
          <w:right w:w="0" w:type="dxa"/>
        </w:tblCellMar>
      </w:tblPr>
      <w:tblGrid>
        <w:gridCol w:w="23"/>
        <w:gridCol w:w="170"/>
        <w:gridCol w:w="774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7745" w:type="dxa"/>
            <w:tcBorders/>
            <w:vAlign w:val="center"/>
          </w:tcPr>
          <w:p>
            <w:pPr>
              <w:pStyle w:val="TableContents"/>
              <w:bidi w:val="0"/>
              <w:spacing w:before="0" w:after="283"/>
              <w:jc w:val="both"/>
              <w:rPr/>
            </w:pPr>
            <w:r>
              <w:rPr/>
              <w:t>the purchase price of the securities and the proceeds we will receive from the sale;</w:t>
            </w:r>
          </w:p>
        </w:tc>
      </w:tr>
    </w:tbl>
    <w:p>
      <w:pPr>
        <w:pStyle w:val="TextBody"/>
        <w:bidi w:val="0"/>
        <w:jc w:val="left"/>
        <w:rPr>
          <w:caps w:val="false"/>
          <w:smallCaps w:val="false"/>
        </w:rPr>
      </w:pPr>
      <w:r>
        <w:rPr>
          <w:caps w:val="false"/>
          <w:smallCaps w:val="false"/>
        </w:rPr>
        <w:t> </w:t>
      </w:r>
    </w:p>
    <w:tbl>
      <w:tblPr>
        <w:tblW w:w="9348" w:type="dxa"/>
        <w:jc w:val="left"/>
        <w:tblInd w:w="0" w:type="dxa"/>
        <w:tblLayout w:type="fixed"/>
        <w:tblCellMar>
          <w:top w:w="0" w:type="dxa"/>
          <w:left w:w="0" w:type="dxa"/>
          <w:bottom w:w="0" w:type="dxa"/>
          <w:right w:w="0" w:type="dxa"/>
        </w:tblCellMar>
      </w:tblPr>
      <w:tblGrid>
        <w:gridCol w:w="23"/>
        <w:gridCol w:w="170"/>
        <w:gridCol w:w="915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9155" w:type="dxa"/>
            <w:tcBorders/>
            <w:vAlign w:val="center"/>
          </w:tcPr>
          <w:p>
            <w:pPr>
              <w:pStyle w:val="TableContents"/>
              <w:bidi w:val="0"/>
              <w:spacing w:before="0" w:after="283"/>
              <w:jc w:val="both"/>
              <w:rPr/>
            </w:pPr>
            <w:r>
              <w:rPr/>
              <w:t>any over-allotment options under which underwriters may purchase additional securities from us;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any agency fees or underwriting discounts and other items constituting agents’ or underwriters’ compensation;</w:t>
            </w:r>
          </w:p>
        </w:tc>
      </w:tr>
    </w:tbl>
    <w:p>
      <w:pPr>
        <w:pStyle w:val="TextBody"/>
        <w:bidi w:val="0"/>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23"/>
        <w:gridCol w:w="170"/>
        <w:gridCol w:w="240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2405" w:type="dxa"/>
            <w:tcBorders/>
            <w:vAlign w:val="center"/>
          </w:tcPr>
          <w:p>
            <w:pPr>
              <w:pStyle w:val="TableContents"/>
              <w:bidi w:val="0"/>
              <w:spacing w:before="0" w:after="283"/>
              <w:jc w:val="both"/>
              <w:rPr/>
            </w:pPr>
            <w:r>
              <w:rPr/>
              <w:t>any public offering price;</w:t>
            </w:r>
          </w:p>
        </w:tc>
      </w:tr>
    </w:tbl>
    <w:p>
      <w:pPr>
        <w:pStyle w:val="TextBody"/>
        <w:bidi w:val="0"/>
        <w:jc w:val="left"/>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23"/>
        <w:gridCol w:w="170"/>
        <w:gridCol w:w="695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6950" w:type="dxa"/>
            <w:tcBorders/>
            <w:vAlign w:val="center"/>
          </w:tcPr>
          <w:p>
            <w:pPr>
              <w:pStyle w:val="TableContents"/>
              <w:bidi w:val="0"/>
              <w:spacing w:before="0" w:after="283"/>
              <w:jc w:val="both"/>
              <w:rPr/>
            </w:pPr>
            <w:r>
              <w:rPr/>
              <w:t>any discounts or concessions allowed or reallowed or paid to dealers; and</w:t>
            </w:r>
          </w:p>
        </w:tc>
      </w:tr>
    </w:tbl>
    <w:p>
      <w:pPr>
        <w:pStyle w:val="TextBody"/>
        <w:bidi w:val="0"/>
        <w:jc w:val="left"/>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23"/>
        <w:gridCol w:w="170"/>
        <w:gridCol w:w="680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6800" w:type="dxa"/>
            <w:tcBorders/>
            <w:vAlign w:val="center"/>
          </w:tcPr>
          <w:p>
            <w:pPr>
              <w:pStyle w:val="TableContents"/>
              <w:bidi w:val="0"/>
              <w:spacing w:before="0" w:after="283"/>
              <w:jc w:val="both"/>
              <w:rPr/>
            </w:pPr>
            <w:r>
              <w:rPr/>
              <w:t>any securities exchange or market on which the securities may be listed.</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or other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8</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underwriters or agents who are qualified market makers on the Nasdaq Global Market may engage in passive market making transactions in the securities on the Nasdaq Global Market in accordance with Rule 103 of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9</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3" w:name="a_007"/>
      <w:bookmarkEnd w:id="23"/>
      <w:r>
        <w:rPr>
          <w:rFonts w:ascii="Times New Roman;Times;Serif" w:hAnsi="Times New Roman;Times;Serif"/>
          <w:b/>
          <w:i w:val="false"/>
          <w:caps w:val="false"/>
          <w:smallCaps w:val="false"/>
          <w:sz w:val="20"/>
        </w:rPr>
        <w:t>DESCRIPTION OF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most important terms of our capital stock and certain provisions of our amended and restated certificate of incorporation and amended and restated bylaws. This summary does not purport to be complete and is qualified in its entirety by the provisions of our amended and restated certificate of incorporation and amended and restated bylaws, copies of which have been filed as exhibits to the Registration Statement of which this prospectus is a part, and by the applicable provisions of Delaware law.</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110,000,000 shares of capital stock, of which (i) 100,000,000 shares are Common Stock with a par value $0.0001 per share and (ii) 10,000,000 shares are preferred stock with a par value of $0.0001 per share. All of our authorized shares of preferred stock are undesignated.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one vote per share on all matters to be voted upon by the shareholders, including the election of directors. Such holders are not entitled to vote cumulatively for the election of directors.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our shareholders, with the directors in the other classes continuing for the remainder of their respective three-year terms. The affirmative vote of holders of at least 66⅔% of the voting power of all of the then-outstanding shares of capital stock, voting as a single class, will be required to amend certain provisions of our amended and restated certificate of incorporation, including provisions relating to amending our amended and restated bylaws and our amended and restated certificate of incorporation, the classified structure of our board of directors, the size of our board of directors, removal of directors, director liability, vacancies on our board of directors, special meetings, shareholder notices, actions by written consent, and exclusive jurisdiction.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outstanding preferred stock, our common shareholders are entitled to receive ratably such dividends, if any, as may be declared from time to time by the board of directors out of funds legally available for that purpose. We have never declared or paid any cash dividends on our capital stock. We currently expect to retain future earnings, if any, to finance the growth and development of our business and do not anticipate paying any cash dividends in the foreseeable future.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Rights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 up, our common shareholders are entitled to share ratably in all assets remaining after payment of liabilities, subject to prior distribution rights of preferred stock, if any, then outstanding.</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Preemptive or Similar Rights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shareholders have no preemptive or conversion rights or other subscription rights. There are no redemption or sinking fund provisions applicable to the 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amended and restated certificate of incorporation, our board of directors is authorized, without action by the shareholders, to designate and issue up to 10,000,000 shares of preferred stock in one or more series and to designate the powers, preferences and rights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pStyle w:val="TextBody"/>
        <w:bidi w:val="0"/>
        <w:jc w:val="left"/>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23"/>
        <w:gridCol w:w="170"/>
        <w:gridCol w:w="459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4595" w:type="dxa"/>
            <w:tcBorders/>
            <w:vAlign w:val="center"/>
          </w:tcPr>
          <w:p>
            <w:pPr>
              <w:pStyle w:val="TableContents"/>
              <w:bidi w:val="0"/>
              <w:spacing w:before="0" w:after="283"/>
              <w:jc w:val="both"/>
              <w:rPr/>
            </w:pPr>
            <w:r>
              <w:rPr/>
              <w:t>impairing dividend rights of the Common Stock;</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10</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23"/>
        <w:gridCol w:w="170"/>
        <w:gridCol w:w="461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4610" w:type="dxa"/>
            <w:tcBorders/>
            <w:vAlign w:val="center"/>
          </w:tcPr>
          <w:p>
            <w:pPr>
              <w:pStyle w:val="TableContents"/>
              <w:bidi w:val="0"/>
              <w:spacing w:before="0" w:after="283"/>
              <w:jc w:val="both"/>
              <w:rPr/>
            </w:pPr>
            <w:r>
              <w:rPr/>
              <w:t>diluting the voting power of the Common Stock;</w:t>
            </w:r>
          </w:p>
        </w:tc>
      </w:tr>
    </w:tbl>
    <w:p>
      <w:pPr>
        <w:pStyle w:val="TextBody"/>
        <w:bidi w:val="0"/>
        <w:jc w:val="left"/>
        <w:rPr>
          <w:caps w:val="false"/>
          <w:smallCaps w:val="false"/>
        </w:rPr>
      </w:pPr>
      <w:r>
        <w:rPr>
          <w:caps w:val="false"/>
          <w:smallCaps w:val="false"/>
        </w:rPr>
        <w:t> </w:t>
      </w:r>
    </w:p>
    <w:tbl>
      <w:tblPr>
        <w:tblW w:w="5718" w:type="dxa"/>
        <w:jc w:val="left"/>
        <w:tblInd w:w="0" w:type="dxa"/>
        <w:tblLayout w:type="fixed"/>
        <w:tblCellMar>
          <w:top w:w="0" w:type="dxa"/>
          <w:left w:w="0" w:type="dxa"/>
          <w:bottom w:w="0" w:type="dxa"/>
          <w:right w:w="0" w:type="dxa"/>
        </w:tblCellMar>
      </w:tblPr>
      <w:tblGrid>
        <w:gridCol w:w="23"/>
        <w:gridCol w:w="170"/>
        <w:gridCol w:w="552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5525" w:type="dxa"/>
            <w:tcBorders/>
            <w:vAlign w:val="center"/>
          </w:tcPr>
          <w:p>
            <w:pPr>
              <w:pStyle w:val="TableContents"/>
              <w:bidi w:val="0"/>
              <w:spacing w:before="0" w:after="283"/>
              <w:jc w:val="both"/>
              <w:rPr/>
            </w:pPr>
            <w:r>
              <w:rPr/>
              <w:t>impairing the liquidation rights of the Common Stock; and</w:t>
            </w:r>
          </w:p>
        </w:tc>
      </w:tr>
    </w:tbl>
    <w:p>
      <w:pPr>
        <w:pStyle w:val="TextBody"/>
        <w:bidi w:val="0"/>
        <w:jc w:val="left"/>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23"/>
        <w:gridCol w:w="170"/>
        <w:gridCol w:w="858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8585" w:type="dxa"/>
            <w:tcBorders/>
            <w:vAlign w:val="center"/>
          </w:tcPr>
          <w:p>
            <w:pPr>
              <w:pStyle w:val="TableContents"/>
              <w:bidi w:val="0"/>
              <w:spacing w:before="0" w:after="283"/>
              <w:jc w:val="both"/>
              <w:rPr/>
            </w:pPr>
            <w:r>
              <w:rPr/>
              <w:t>delaying or preventing a change in control of us without further action by the shareholders.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Promissory Note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NeOnc Technologies, Inc. issued a $50,000 convertible note to a shareholder due August 30, 2023 (“Note”). The Note bears interest at 2% per annum and is convertible. The Note and all accrued interest thereon is convertible, at the option of the noteholder, into the class and series of equity securities (“Conversion Stock”) that is sold by us in its next issuance of equity securities in a Financing Transaction (as defined below), consummated after the issuance date of the note. A Financing Transaction is a sale, other than in an initial public offering, of equity securities by us to investors for cash. The Financing Transaction does not include the issuance of stock, options, or warrants to service providers in connection with the rendition of such services or to third parties in connection with the contribution of non-cash assets to us. The number of shares of Conversion Stock to be issued to the noteholder upon such conversion shall be equal to the quotient obtained by dividing (i) the entire principal amount of the Note plus accrued interest by (ii) the Financing Transaction conversion price, which shall be equal to 75% of the price paid for one share of Conversion Stock by the investors in the Financing Transaction. The entire principal amount of and accrued interest of the Note shall automatically be converted, without further action on the part of the noteholder or us, into the class and series of stock issued by us, at the closing of an initial public offering. The number of shares of stock to be issued to the holder upon such conversion shall be equal to the quotient obtained by dividing (i) the entire principal amount of the Note plus accrued interest by (ii) the initial public offering conversion price, which shall be equal to 75% of the price paid for one share of Conversion Stock by the investors in the initial public offering. On January 31, 2024, the Note was assigned to HCWG LLC (an entity owned by certain shareholders, directors, and officers of the Company). Additionally, as part of the assignment, the Note was amended to increase the principal balance to $62,500, amend the maturity date to the date that the Company completes its initial public offering, and the Note was subordinated to the Bridge Loan.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Amended and Restated Certificate of Incorporation and Amended and Restated Bylaws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shareholders do not have cumulative voting rights, our shareholders holding a plurality of the outstanding shares of Common Stock outstanding will be able to elect all of our directors. Our amended and restated certificate of incorporation and our amended and restated bylaws provide for shareholder actions at a duly called meeting of shareholders. A special meeting of shareholders may be called by a majority of our board of directors, the chair of our board of directors, or our chief executive officer or president. Our amended and restated bylaws will establish an advance notice procedure for shareholder proposals to be brought before an annual meeting of our shareholders, including proposed nominations of persons for election to our board of directors.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amended and restated certificate of incorporation, our board of directors is divided into three classes with staggered three-year terms.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provisions will make it more difficult for our existing shareholders to replace our Board of Directors as well as for another party to obtain control of us by replacing our Board of Directors. Since our board of directors has the power to retain and discharge our officers, these provisions could also make it more difficult for existing shareholders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11</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203 of the Delaware General Corporation Law</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Section 203 of the Delaware General Corporation Law, which prohibits a Delaware corporation from engaging in any business combination with any interested shareholder for a period of three years after the date that such shareholder became an interested shareholder, with the following exceptions: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before such date, the board of directors of the corporation approved either the business combination or the transaction that resulted in the shareholder becoming an interested shareholder;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upon closing of the transaction that resulted in the shareholder becoming an interested shareholder, the interested shareholder owned at least 85% of the voting stock of the corporation outstanding at the time the transaction began, excluding for purposes of determining the voting stock outstanding (but not the outstanding voting stock owned by the interested shareholder)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on or after such date, the business combination is approved by the board of directors and authorized at an annual or special meeting of the shareholders, and not by written consent, by the affirmative vote of at least 66⅔% of the outstanding voting stock that is not owned by the interested shareholder.</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business combination to include the following:</w:t>
      </w:r>
    </w:p>
    <w:p>
      <w:pPr>
        <w:pStyle w:val="TextBody"/>
        <w:bidi w:val="0"/>
        <w:jc w:val="left"/>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23"/>
        <w:gridCol w:w="170"/>
        <w:gridCol w:w="803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8030" w:type="dxa"/>
            <w:tcBorders/>
            <w:vAlign w:val="center"/>
          </w:tcPr>
          <w:p>
            <w:pPr>
              <w:pStyle w:val="TableContents"/>
              <w:bidi w:val="0"/>
              <w:spacing w:before="0" w:after="283"/>
              <w:jc w:val="both"/>
              <w:rPr/>
            </w:pPr>
            <w:r>
              <w:rPr/>
              <w:t>any merger or consolidation involving the corporation and the interested shareholder;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any sale, transfer, pledge or other disposition of 10% or more of the assets of the corporation involving the interested shareholder;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subject to certain exceptions, any transaction that results in the issuance or transfer by the corporation of any stock of the corporation to the interested shareholder;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any transaction involving the corporation that has the effect of increasing the proportionate share of the stock or any class or series of the corporation beneficially owned by the interested shareholder;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receipt by the interested shareholder of the benefit of any loss, advances, guarantees, pledges or other financial benefits by or through the corporation.</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an “interested shareholder” as an entity or person who, together with the person’s affiliates and associates, beneficially owns, or within three years prior to the time of determination of interested shareholder status did own, 15% or more of the outstanding voting stock of the corporation.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Exclusive forum for adjudication of disputes provision which limits the forum to the Delaware Court of Chancery for certain shareholder litigation matters actions against us, which may limit an investor’s ability to obtain a favorable judicial forum for disputes with us or our directors, officers, employees or shareholders.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dictate that, unless we consent in writing to the selection of an alternative forum, the Delaware Court of Chancery (or, if the Delaware Court of Chancery does not have jurisdiction, the federal district court for the State of Delaware) is, to the fullest extent permitted by law, the sole and exclusive forum for certain actions including derivative action or proceeding brought on our behalf; an action asserting a breach of fiduciary duty owed by any current or former officer, director, employee or to the shareholders of our company; any claim arising under Delaware corporate law, our certificate of incorporation or our bylaws, as amended from time to time; and any action asserting a claim governed by the internal affairs doctrine. Any person or entity purchasing or otherwise acquiring any interest in shares of capital stock of our company shall be deemed to have notice of and consented to the provisions of our amended and restated bylaws.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12</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this provision of our amended and restated bylaws will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unless we consent in writing to the selection of an alternative forum, the federal district courts of the United States of America will be the exclusive forum for the resolution of any complaint asserting a cause of action arising under the Securities Act, or the rules and regulations promulgated thereunder. We note, however, that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this provision and that investors cannot waive compliance with the federal securities laws and the rules and regulations thereunder.</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Delaware corporation is allowed to mandate in its corporate governance documents a chosen forum for the resolution of state law-based shareholder actions, derivative suits and other intra-corporate disputes. With respect to such state law claims, our management believes limiting state law based claims to Delaware will provide the most appropriate outcomes as the risk of another forum misapplying Delaware law is avoided, Delaware courts have a well-developed body of case law and limiting the forum will preclude costly and duplicative litigation and avoids the risk of inconsistent outcomes. Additionally, Delaware Chancery Courts can typically resolve disputes on an accelerated schedule when compared to other forums.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provisions contained in our amended and restated bylaws may limit a shareholder’s ability to bring a claim in a judicial forum that it finds favorable for disputes with our company or any of our directors, officers, other employees or shareholders, which may discourage lawsuits with respect to such claims. Alternatively, the enforceability of similar choice of forum provisions in other issuers’ bylaws and certificates of incorporation has been challenged in legal proceedings, and it is possible that in connection with any applicable action brought against our company, a court could find the choice of forum provisions contained in our bylaws, as amended. to be inapplicable or unenforceable in such action. As a result, we could incur additional costs associated with resolving such actions in other jurisdictions, which could harm our business, operating results and financial condition.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VStock Transfer LLC, 18 Lafayette Pl Woodmere, NY 11598, telephone: (212) 828-8436, as the transfer agent for our Common Stock</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 and Market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Common Stock are listed on the Nasdaq Global Market under the symbol “NTHI”.</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4" w:name="a_008"/>
      <w:bookmarkEnd w:id="24"/>
      <w:r>
        <w:rPr>
          <w:rFonts w:ascii="Times New Roman;Times;Serif" w:hAnsi="Times New Roman;Times;Serif"/>
          <w:b/>
          <w:i w:val="false"/>
          <w:caps w:val="false"/>
          <w:smallCaps w:val="false"/>
          <w:sz w:val="20"/>
        </w:rPr>
        <w:t>DESCRIPTION OF DEBT SECURITIES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forms a part. We use the term “indentures” to refer to either the senior indenture or the subordinated indenture, as applicable. The indentures will be qualified under the Trust Indenture Act of 1939 (the “Trust Indenture Act”) as in effect on the date of the indenture. We use the term “debenture trustee” to refer to either the trustee under the senior indenture or the trustee under the subordinated indenture, as applicable.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each prospectus supplement the following terms relating to a series of debt securities:</w:t>
      </w:r>
    </w:p>
    <w:p>
      <w:pPr>
        <w:pStyle w:val="TextBody"/>
        <w:bidi w:val="0"/>
        <w:jc w:val="left"/>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23"/>
        <w:gridCol w:w="170"/>
        <w:gridCol w:w="216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2165" w:type="dxa"/>
            <w:tcBorders/>
            <w:vAlign w:val="center"/>
          </w:tcPr>
          <w:p>
            <w:pPr>
              <w:pStyle w:val="TableContents"/>
              <w:bidi w:val="0"/>
              <w:spacing w:before="0" w:after="283"/>
              <w:jc w:val="both"/>
              <w:rPr/>
            </w:pPr>
            <w:r>
              <w:rPr/>
              <w:t>the title or designation;</w:t>
            </w:r>
          </w:p>
        </w:tc>
      </w:tr>
    </w:tbl>
    <w:p>
      <w:pPr>
        <w:pStyle w:val="TextBody"/>
        <w:bidi w:val="0"/>
        <w:jc w:val="left"/>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23"/>
        <w:gridCol w:w="170"/>
        <w:gridCol w:w="749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7490" w:type="dxa"/>
            <w:tcBorders/>
            <w:vAlign w:val="center"/>
          </w:tcPr>
          <w:p>
            <w:pPr>
              <w:pStyle w:val="TableContents"/>
              <w:bidi w:val="0"/>
              <w:spacing w:before="0" w:after="283"/>
              <w:jc w:val="both"/>
              <w:rPr/>
            </w:pPr>
            <w:r>
              <w:rPr/>
              <w:t>the aggregate principal amount and any limit on the amount that may be issued;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currency or units based on or relating to currencies in which debt securities of such series are denominated and the currency or units in which principal or interest or both will or may be payable;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whether we will issue the series of debt securities in global form, the terms of any global securities and who the depositary will be;</w:t>
            </w:r>
          </w:p>
        </w:tc>
      </w:tr>
    </w:tbl>
    <w:p>
      <w:pPr>
        <w:pStyle w:val="TextBody"/>
        <w:bidi w:val="0"/>
        <w:jc w:val="left"/>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23"/>
        <w:gridCol w:w="170"/>
        <w:gridCol w:w="698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6980" w:type="dxa"/>
            <w:tcBorders/>
            <w:vAlign w:val="center"/>
          </w:tcPr>
          <w:p>
            <w:pPr>
              <w:pStyle w:val="TableContents"/>
              <w:bidi w:val="0"/>
              <w:spacing w:before="0" w:after="283"/>
              <w:jc w:val="both"/>
              <w:rPr/>
            </w:pPr>
            <w:r>
              <w:rPr/>
              <w:t>the maturity date and the date or dates on which principal will be payable;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tc>
      </w:tr>
    </w:tbl>
    <w:p>
      <w:pPr>
        <w:pStyle w:val="TextBody"/>
        <w:bidi w:val="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23"/>
        <w:gridCol w:w="170"/>
        <w:gridCol w:w="924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9245" w:type="dxa"/>
            <w:tcBorders/>
            <w:vAlign w:val="center"/>
          </w:tcPr>
          <w:p>
            <w:pPr>
              <w:pStyle w:val="TableContents"/>
              <w:bidi w:val="0"/>
              <w:spacing w:before="0" w:after="283"/>
              <w:jc w:val="both"/>
              <w:rPr/>
            </w:pPr>
            <w:r>
              <w:rPr/>
              <w:t>whether or not the debt securities will be secured or unsecured, and the terms of any secured debt;</w:t>
            </w:r>
          </w:p>
        </w:tc>
      </w:tr>
    </w:tbl>
    <w:p>
      <w:pPr>
        <w:pStyle w:val="TextBody"/>
        <w:bidi w:val="0"/>
        <w:jc w:val="left"/>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23"/>
        <w:gridCol w:w="170"/>
        <w:gridCol w:w="612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6125" w:type="dxa"/>
            <w:tcBorders/>
            <w:vAlign w:val="center"/>
          </w:tcPr>
          <w:p>
            <w:pPr>
              <w:pStyle w:val="TableContents"/>
              <w:bidi w:val="0"/>
              <w:spacing w:before="0" w:after="283"/>
              <w:jc w:val="both"/>
              <w:rPr/>
            </w:pPr>
            <w:r>
              <w:rPr/>
              <w:t>the terms of the subordination of any series of subordinated debt;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14</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23"/>
        <w:gridCol w:w="170"/>
        <w:gridCol w:w="492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4925" w:type="dxa"/>
            <w:tcBorders/>
            <w:vAlign w:val="center"/>
          </w:tcPr>
          <w:p>
            <w:pPr>
              <w:pStyle w:val="TableContents"/>
              <w:bidi w:val="0"/>
              <w:spacing w:before="0" w:after="283"/>
              <w:jc w:val="both"/>
              <w:rPr/>
            </w:pPr>
            <w:r>
              <w:rPr/>
              <w:t>the place or places where payments will be payable;</w:t>
            </w:r>
          </w:p>
        </w:tc>
      </w:tr>
    </w:tbl>
    <w:p>
      <w:pPr>
        <w:pStyle w:val="TextBody"/>
        <w:bidi w:val="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23"/>
        <w:gridCol w:w="170"/>
        <w:gridCol w:w="924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9245" w:type="dxa"/>
            <w:tcBorders/>
            <w:vAlign w:val="center"/>
          </w:tcPr>
          <w:p>
            <w:pPr>
              <w:pStyle w:val="TableContents"/>
              <w:bidi w:val="0"/>
              <w:spacing w:before="0" w:after="283"/>
              <w:jc w:val="both"/>
              <w:rPr/>
            </w:pPr>
            <w:r>
              <w:rPr/>
              <w:t>our right, if any, to defer payment of interest and the maximum length of any such deferral period;</w:t>
            </w:r>
          </w:p>
        </w:tc>
      </w:tr>
    </w:tbl>
    <w:p>
      <w:pPr>
        <w:pStyle w:val="TextBody"/>
        <w:bidi w:val="0"/>
        <w:jc w:val="left"/>
        <w:rPr>
          <w:caps w:val="false"/>
          <w:smallCaps w:val="false"/>
        </w:rPr>
      </w:pPr>
      <w:r>
        <w:rPr>
          <w:caps w:val="false"/>
          <w:smallCaps w:val="false"/>
        </w:rPr>
        <w:t> </w:t>
      </w:r>
    </w:p>
    <w:tbl>
      <w:tblPr>
        <w:tblW w:w="9648" w:type="dxa"/>
        <w:jc w:val="left"/>
        <w:tblInd w:w="0" w:type="dxa"/>
        <w:tblLayout w:type="fixed"/>
        <w:tblCellMar>
          <w:top w:w="0" w:type="dxa"/>
          <w:left w:w="0" w:type="dxa"/>
          <w:bottom w:w="0" w:type="dxa"/>
          <w:right w:w="0" w:type="dxa"/>
        </w:tblCellMar>
      </w:tblPr>
      <w:tblGrid>
        <w:gridCol w:w="23"/>
        <w:gridCol w:w="170"/>
        <w:gridCol w:w="945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9455" w:type="dxa"/>
            <w:tcBorders/>
            <w:vAlign w:val="center"/>
          </w:tcPr>
          <w:p>
            <w:pPr>
              <w:pStyle w:val="TableContents"/>
              <w:bidi w:val="0"/>
              <w:spacing w:before="0" w:after="283"/>
              <w:jc w:val="both"/>
              <w:rPr/>
            </w:pPr>
            <w:r>
              <w:rPr/>
              <w:t>the date, if any, after which, and the price at which, we may, at our option, redeem the series of debt</w:t>
            </w:r>
          </w:p>
        </w:tc>
      </w:tr>
    </w:tbl>
    <w:p>
      <w:pPr>
        <w:pStyle w:val="TextBody"/>
        <w:bidi w:val="0"/>
        <w:jc w:val="left"/>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23"/>
        <w:gridCol w:w="170"/>
        <w:gridCol w:w="545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5450" w:type="dxa"/>
            <w:tcBorders/>
            <w:vAlign w:val="center"/>
          </w:tcPr>
          <w:p>
            <w:pPr>
              <w:pStyle w:val="TableContents"/>
              <w:bidi w:val="0"/>
              <w:spacing w:before="0" w:after="283"/>
              <w:jc w:val="both"/>
              <w:rPr/>
            </w:pPr>
            <w:r>
              <w:rPr/>
              <w:t>securities pursuant to any optional redemption provisions;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date, if any, on which, and the price at which we are obligated, pursuant to any mandatory sinking fund provisions or otherwise, to redeem, or at the holder’s option to purchase, the series of debt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whether the indenture will restrict our ability to pay dividends, or will require us to maintain any asset ratios or reserves;</w:t>
            </w:r>
          </w:p>
        </w:tc>
      </w:tr>
    </w:tbl>
    <w:p>
      <w:pPr>
        <w:pStyle w:val="TextBody"/>
        <w:bidi w:val="0"/>
        <w:jc w:val="left"/>
        <w:rPr>
          <w:caps w:val="false"/>
          <w:smallCaps w:val="false"/>
        </w:rPr>
      </w:pPr>
      <w:r>
        <w:rPr>
          <w:caps w:val="false"/>
          <w:smallCaps w:val="false"/>
        </w:rPr>
        <w:t> </w:t>
      </w:r>
    </w:p>
    <w:tbl>
      <w:tblPr>
        <w:tblW w:w="7098" w:type="dxa"/>
        <w:jc w:val="left"/>
        <w:tblInd w:w="0" w:type="dxa"/>
        <w:tblLayout w:type="fixed"/>
        <w:tblCellMar>
          <w:top w:w="0" w:type="dxa"/>
          <w:left w:w="0" w:type="dxa"/>
          <w:bottom w:w="0" w:type="dxa"/>
          <w:right w:w="0" w:type="dxa"/>
        </w:tblCellMar>
      </w:tblPr>
      <w:tblGrid>
        <w:gridCol w:w="23"/>
        <w:gridCol w:w="170"/>
        <w:gridCol w:w="690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6905" w:type="dxa"/>
            <w:tcBorders/>
            <w:vAlign w:val="center"/>
          </w:tcPr>
          <w:p>
            <w:pPr>
              <w:pStyle w:val="TableContents"/>
              <w:bidi w:val="0"/>
              <w:spacing w:before="0" w:after="283"/>
              <w:jc w:val="both"/>
              <w:rPr/>
            </w:pPr>
            <w:r>
              <w:rPr/>
              <w:t>whether we will be restricted from incurring any additional indebtedness;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a discussion of any material or special U.S. federal income tax considerations applicable to a series of debt securities;</w:t>
            </w:r>
          </w:p>
        </w:tc>
      </w:tr>
    </w:tbl>
    <w:p>
      <w:pPr>
        <w:pStyle w:val="TextBody"/>
        <w:bidi w:val="0"/>
        <w:jc w:val="left"/>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23"/>
        <w:gridCol w:w="170"/>
        <w:gridCol w:w="252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2525" w:type="dxa"/>
            <w:tcBorders/>
            <w:vAlign w:val="center"/>
          </w:tcPr>
          <w:p>
            <w:pPr>
              <w:pStyle w:val="TableContents"/>
              <w:bidi w:val="0"/>
              <w:spacing w:before="0" w:after="283"/>
              <w:jc w:val="both"/>
              <w:rPr/>
            </w:pPr>
            <w:r>
              <w:rPr/>
              <w:t>the form of debt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whether the debt securities will be convertible into shares of Common Stock or other securities and, if so, the terms and conditions upon which such debt securities will be so convertible, including the conversion price and the conversion period;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if other than the principal amount thereof, the portion of the principal amount of debt securities which shall be payable upon declaration of acceleration of the maturity thereof;</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any additional or different events of default or restrictive covenants provided for with respect to the debt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denominations in which we will issue the series of debt securities, if other than denominations of $1,000 and any integral multiple thereof; and</w:t>
            </w:r>
          </w:p>
        </w:tc>
      </w:tr>
    </w:tbl>
    <w:p>
      <w:pPr>
        <w:pStyle w:val="TextBody"/>
        <w:bidi w:val="0"/>
        <w:jc w:val="left"/>
        <w:rPr>
          <w:caps w:val="false"/>
          <w:smallCaps w:val="false"/>
        </w:rPr>
      </w:pPr>
      <w:r>
        <w:rPr>
          <w:caps w:val="false"/>
          <w:smallCaps w:val="false"/>
        </w:rPr>
        <w:t> </w:t>
      </w:r>
    </w:p>
    <w:tbl>
      <w:tblPr>
        <w:tblW w:w="9393" w:type="dxa"/>
        <w:jc w:val="left"/>
        <w:tblInd w:w="0" w:type="dxa"/>
        <w:tblLayout w:type="fixed"/>
        <w:tblCellMar>
          <w:top w:w="0" w:type="dxa"/>
          <w:left w:w="0" w:type="dxa"/>
          <w:bottom w:w="0" w:type="dxa"/>
          <w:right w:w="0" w:type="dxa"/>
        </w:tblCellMar>
      </w:tblPr>
      <w:tblGrid>
        <w:gridCol w:w="23"/>
        <w:gridCol w:w="170"/>
        <w:gridCol w:w="920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9200" w:type="dxa"/>
            <w:tcBorders/>
            <w:vAlign w:val="center"/>
          </w:tcPr>
          <w:p>
            <w:pPr>
              <w:pStyle w:val="TableContents"/>
              <w:bidi w:val="0"/>
              <w:spacing w:before="0" w:after="283"/>
              <w:jc w:val="both"/>
              <w:rPr/>
            </w:pPr>
            <w:r>
              <w:rPr/>
              <w:t>any other specific terms, preferences, rights or limitations of, or restrictions on, the debt securities.</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or Sale; No Protection in Event of a Change of Control or Highly Leveraged Transaction</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satisfactory in form to the indenture trustee.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15</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Under the Indenture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under the indentures with respect to any series of debt securities that we may issue: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if we fail to pay interest when due and our failure continues for 90 days and the time for payment has not been extended or deferred;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if we fail to pay the principal, or premium, if any, when due and the time for payment has not been extended or delayed;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tc>
      </w:tr>
    </w:tbl>
    <w:p>
      <w:pPr>
        <w:pStyle w:val="TextBody"/>
        <w:bidi w:val="0"/>
        <w:jc w:val="left"/>
        <w:rPr>
          <w:caps w:val="false"/>
          <w:smallCaps w:val="false"/>
        </w:rPr>
      </w:pPr>
      <w:r>
        <w:rPr>
          <w:caps w:val="false"/>
          <w:smallCaps w:val="false"/>
        </w:rPr>
        <w:t> </w:t>
      </w:r>
    </w:p>
    <w:tbl>
      <w:tblPr>
        <w:tblW w:w="7503" w:type="dxa"/>
        <w:jc w:val="left"/>
        <w:tblInd w:w="0" w:type="dxa"/>
        <w:tblLayout w:type="fixed"/>
        <w:tblCellMar>
          <w:top w:w="0" w:type="dxa"/>
          <w:left w:w="0" w:type="dxa"/>
          <w:bottom w:w="0" w:type="dxa"/>
          <w:right w:w="0" w:type="dxa"/>
        </w:tblCellMar>
      </w:tblPr>
      <w:tblGrid>
        <w:gridCol w:w="23"/>
        <w:gridCol w:w="170"/>
        <w:gridCol w:w="731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7310" w:type="dxa"/>
            <w:tcBorders/>
            <w:vAlign w:val="center"/>
          </w:tcPr>
          <w:p>
            <w:pPr>
              <w:pStyle w:val="TableContents"/>
              <w:bidi w:val="0"/>
              <w:spacing w:before="0" w:after="283"/>
              <w:jc w:val="both"/>
              <w:rPr/>
            </w:pPr>
            <w:r>
              <w:rPr/>
              <w:t>if specified events of bankruptcy, insolvency or reorganization occur as to us.</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applicable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pStyle w:val="TextBody"/>
        <w:bidi w:val="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23"/>
        <w:gridCol w:w="170"/>
        <w:gridCol w:w="924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9245" w:type="dxa"/>
            <w:tcBorders/>
            <w:vAlign w:val="center"/>
          </w:tcPr>
          <w:p>
            <w:pPr>
              <w:pStyle w:val="TableContents"/>
              <w:bidi w:val="0"/>
              <w:spacing w:before="0" w:after="283"/>
              <w:jc w:val="both"/>
              <w:rPr/>
            </w:pPr>
            <w:r>
              <w:rPr/>
              <w:t>the direction so given by the holder is not in conflict with any law or the applicable indenture; and</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16</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subject to its duties under the Trust Indenture Act, the debenture trustee need not take any action that might involve it in personal liability or might be unduly prejudicial to the holders not involved in the proceeding.</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holder previously has given written notice to the debenture trustee of a continuing event of default with respect to that series;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holders of at least a majority in aggregate principal amount of the outstanding debt securities of that series have made written request, and such holders have offered reasonable indemnity to the debenture trustee to institute the proceeding as trustee;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applicable debenture trustee regarding our compliance with specified covenants in the applicable indenture.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Indenture; Waiver</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and we may change the applicable indenture without the consent of any holders with respect to specific matters, including:</w:t>
      </w:r>
    </w:p>
    <w:p>
      <w:pPr>
        <w:pStyle w:val="TextBody"/>
        <w:bidi w:val="0"/>
        <w:jc w:val="left"/>
        <w:rPr>
          <w:caps w:val="false"/>
          <w:smallCaps w:val="false"/>
        </w:rPr>
      </w:pPr>
      <w:r>
        <w:rPr>
          <w:caps w:val="false"/>
          <w:smallCaps w:val="false"/>
        </w:rPr>
        <w:t> </w:t>
      </w:r>
    </w:p>
    <w:tbl>
      <w:tblPr>
        <w:tblW w:w="6393" w:type="dxa"/>
        <w:jc w:val="left"/>
        <w:tblInd w:w="0" w:type="dxa"/>
        <w:tblLayout w:type="fixed"/>
        <w:tblCellMar>
          <w:top w:w="0" w:type="dxa"/>
          <w:left w:w="0" w:type="dxa"/>
          <w:bottom w:w="0" w:type="dxa"/>
          <w:right w:w="0" w:type="dxa"/>
        </w:tblCellMar>
      </w:tblPr>
      <w:tblGrid>
        <w:gridCol w:w="23"/>
        <w:gridCol w:w="170"/>
        <w:gridCol w:w="620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6200" w:type="dxa"/>
            <w:tcBorders/>
            <w:vAlign w:val="center"/>
          </w:tcPr>
          <w:p>
            <w:pPr>
              <w:pStyle w:val="TableContents"/>
              <w:bidi w:val="0"/>
              <w:spacing w:before="0" w:after="283"/>
              <w:jc w:val="both"/>
              <w:rPr/>
            </w:pPr>
            <w:r>
              <w:rPr/>
              <w:t>to fix any ambiguity, defect or inconsistency in the indenture;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to change anything that does not materially adversely affect the interests of any holder of debt securities of any series issued pursuant to such indenture.</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pStyle w:val="TextBody"/>
        <w:bidi w:val="0"/>
        <w:jc w:val="left"/>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23"/>
        <w:gridCol w:w="170"/>
        <w:gridCol w:w="557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5570" w:type="dxa"/>
            <w:tcBorders/>
            <w:vAlign w:val="center"/>
          </w:tcPr>
          <w:p>
            <w:pPr>
              <w:pStyle w:val="TableContents"/>
              <w:bidi w:val="0"/>
              <w:spacing w:before="0" w:after="283"/>
              <w:jc w:val="both"/>
              <w:rPr/>
            </w:pPr>
            <w:r>
              <w:rPr/>
              <w:t>extending the fixed maturity of the series of debt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reducing the principal amount, reducing the rate of or extending the time of payment of interest, or any premium payable upon the redemption of any debt securities;</w:t>
            </w:r>
          </w:p>
        </w:tc>
      </w:tr>
    </w:tbl>
    <w:p>
      <w:pPr>
        <w:pStyle w:val="TextBody"/>
        <w:bidi w:val="0"/>
        <w:jc w:val="left"/>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23"/>
        <w:gridCol w:w="170"/>
        <w:gridCol w:w="855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8555" w:type="dxa"/>
            <w:tcBorders/>
            <w:vAlign w:val="center"/>
          </w:tcPr>
          <w:p>
            <w:pPr>
              <w:pStyle w:val="TableContents"/>
              <w:bidi w:val="0"/>
              <w:spacing w:before="0" w:after="283"/>
              <w:jc w:val="both"/>
              <w:rPr/>
            </w:pPr>
            <w:r>
              <w:rPr/>
              <w:t>reducing the principal amount of discount securities payable upon acceleration of maturity;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making the principal of or premium or interest on any debt security payable in currency other than that stated in the debt security;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reducing the percentage of debt securities, the holders of which are required to consent to any amendment or waiver.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17</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holders of a majority in principal amount of the outstanding debt securities of any series may rescind an acceleration and its consequences, including any related payment default that resulted from the acceleration.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for obligations to:</w:t>
      </w:r>
    </w:p>
    <w:p>
      <w:pPr>
        <w:pStyle w:val="TextBody"/>
        <w:bidi w:val="0"/>
        <w:jc w:val="left"/>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23"/>
        <w:gridCol w:w="170"/>
        <w:gridCol w:w="180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805" w:type="dxa"/>
            <w:tcBorders/>
            <w:vAlign w:val="center"/>
          </w:tcPr>
          <w:p>
            <w:pPr>
              <w:pStyle w:val="TableContents"/>
              <w:bidi w:val="0"/>
              <w:spacing w:before="0" w:after="283"/>
              <w:jc w:val="both"/>
              <w:rPr/>
            </w:pPr>
            <w:r>
              <w:rPr/>
              <w:t>maintain a register;</w:t>
            </w:r>
          </w:p>
        </w:tc>
      </w:tr>
    </w:tbl>
    <w:p>
      <w:pPr>
        <w:pStyle w:val="TextBody"/>
        <w:bidi w:val="0"/>
        <w:jc w:val="left"/>
        <w:rPr>
          <w:caps w:val="false"/>
          <w:smallCaps w:val="false"/>
        </w:rPr>
      </w:pPr>
      <w:r>
        <w:rPr>
          <w:caps w:val="false"/>
          <w:smallCaps w:val="false"/>
        </w:rPr>
        <w:t> </w:t>
      </w:r>
    </w:p>
    <w:tbl>
      <w:tblPr>
        <w:tblW w:w="5373" w:type="dxa"/>
        <w:jc w:val="left"/>
        <w:tblInd w:w="0" w:type="dxa"/>
        <w:tblLayout w:type="fixed"/>
        <w:tblCellMar>
          <w:top w:w="0" w:type="dxa"/>
          <w:left w:w="0" w:type="dxa"/>
          <w:bottom w:w="0" w:type="dxa"/>
          <w:right w:w="0" w:type="dxa"/>
        </w:tblCellMar>
      </w:tblPr>
      <w:tblGrid>
        <w:gridCol w:w="23"/>
        <w:gridCol w:w="170"/>
        <w:gridCol w:w="518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5180" w:type="dxa"/>
            <w:tcBorders/>
            <w:vAlign w:val="center"/>
          </w:tcPr>
          <w:p>
            <w:pPr>
              <w:pStyle w:val="TableContents"/>
              <w:bidi w:val="0"/>
              <w:spacing w:before="0" w:after="283"/>
              <w:jc w:val="both"/>
              <w:rPr/>
            </w:pPr>
            <w:r>
              <w:rPr/>
              <w:t>the transfer or exchange of debt securities of the series;</w:t>
            </w:r>
          </w:p>
        </w:tc>
      </w:tr>
    </w:tbl>
    <w:p>
      <w:pPr>
        <w:pStyle w:val="TextBody"/>
        <w:bidi w:val="0"/>
        <w:jc w:val="left"/>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23"/>
        <w:gridCol w:w="170"/>
        <w:gridCol w:w="558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5585" w:type="dxa"/>
            <w:tcBorders/>
            <w:vAlign w:val="center"/>
          </w:tcPr>
          <w:p>
            <w:pPr>
              <w:pStyle w:val="TableContents"/>
              <w:bidi w:val="0"/>
              <w:spacing w:before="0" w:after="283"/>
              <w:jc w:val="both"/>
              <w:rPr/>
            </w:pPr>
            <w:r>
              <w:rPr/>
              <w:t>replace stolen, lost or mutilated debt securities of the series;</w:t>
            </w:r>
          </w:p>
        </w:tc>
      </w:tr>
    </w:tbl>
    <w:p>
      <w:pPr>
        <w:pStyle w:val="TextBody"/>
        <w:bidi w:val="0"/>
        <w:jc w:val="left"/>
        <w:rPr>
          <w:caps w:val="false"/>
          <w:smallCaps w:val="false"/>
        </w:rPr>
      </w:pPr>
      <w:r>
        <w:rPr>
          <w:caps w:val="false"/>
          <w:smallCaps w:val="false"/>
        </w:rPr>
        <w:t> </w:t>
      </w:r>
    </w:p>
    <w:tbl>
      <w:tblPr>
        <w:tblW w:w="9078" w:type="dxa"/>
        <w:jc w:val="left"/>
        <w:tblInd w:w="0" w:type="dxa"/>
        <w:tblLayout w:type="fixed"/>
        <w:tblCellMar>
          <w:top w:w="0" w:type="dxa"/>
          <w:left w:w="0" w:type="dxa"/>
          <w:bottom w:w="0" w:type="dxa"/>
          <w:right w:w="0" w:type="dxa"/>
        </w:tblCellMar>
      </w:tblPr>
      <w:tblGrid>
        <w:gridCol w:w="23"/>
        <w:gridCol w:w="170"/>
        <w:gridCol w:w="888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8885" w:type="dxa"/>
            <w:tcBorders/>
            <w:vAlign w:val="center"/>
          </w:tcPr>
          <w:p>
            <w:pPr>
              <w:pStyle w:val="TableContents"/>
              <w:bidi w:val="0"/>
              <w:spacing w:before="0" w:after="283"/>
              <w:jc w:val="both"/>
              <w:rPr/>
            </w:pPr>
            <w:r>
              <w:rPr/>
              <w:t>duly and punctually pay or cause to be paid amounts owing with respect to the debt securities;</w:t>
            </w:r>
          </w:p>
        </w:tc>
      </w:tr>
    </w:tbl>
    <w:p>
      <w:pPr>
        <w:pStyle w:val="TextBody"/>
        <w:bidi w:val="0"/>
        <w:jc w:val="left"/>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23"/>
        <w:gridCol w:w="170"/>
        <w:gridCol w:w="246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2465" w:type="dxa"/>
            <w:tcBorders/>
            <w:vAlign w:val="center"/>
          </w:tcPr>
          <w:p>
            <w:pPr>
              <w:pStyle w:val="TableContents"/>
              <w:bidi w:val="0"/>
              <w:spacing w:before="0" w:after="283"/>
              <w:jc w:val="both"/>
              <w:rPr/>
            </w:pPr>
            <w:r>
              <w:rPr/>
              <w:t>maintain paying agencies;</w:t>
            </w:r>
          </w:p>
        </w:tc>
      </w:tr>
    </w:tbl>
    <w:p>
      <w:pPr>
        <w:pStyle w:val="TextBody"/>
        <w:bidi w:val="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23"/>
        <w:gridCol w:w="170"/>
        <w:gridCol w:w="314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3140" w:type="dxa"/>
            <w:tcBorders/>
            <w:vAlign w:val="center"/>
          </w:tcPr>
          <w:p>
            <w:pPr>
              <w:pStyle w:val="TableContents"/>
              <w:bidi w:val="0"/>
              <w:spacing w:before="0" w:after="283"/>
              <w:jc w:val="both"/>
              <w:rPr/>
            </w:pPr>
            <w:r>
              <w:rPr/>
              <w:t>hold monies for payment in trust;</w:t>
            </w:r>
          </w:p>
        </w:tc>
      </w:tr>
    </w:tbl>
    <w:p>
      <w:pPr>
        <w:pStyle w:val="TextBody"/>
        <w:bidi w:val="0"/>
        <w:jc w:val="left"/>
        <w:rPr>
          <w:caps w:val="false"/>
          <w:smallCaps w:val="false"/>
        </w:rPr>
      </w:pPr>
      <w:r>
        <w:rPr>
          <w:caps w:val="false"/>
          <w:smallCaps w:val="false"/>
        </w:rPr>
        <w:t> </w:t>
      </w:r>
    </w:p>
    <w:tbl>
      <w:tblPr>
        <w:tblW w:w="4233" w:type="dxa"/>
        <w:jc w:val="left"/>
        <w:tblInd w:w="0" w:type="dxa"/>
        <w:tblLayout w:type="fixed"/>
        <w:tblCellMar>
          <w:top w:w="0" w:type="dxa"/>
          <w:left w:w="0" w:type="dxa"/>
          <w:bottom w:w="0" w:type="dxa"/>
          <w:right w:w="0" w:type="dxa"/>
        </w:tblCellMar>
      </w:tblPr>
      <w:tblGrid>
        <w:gridCol w:w="23"/>
        <w:gridCol w:w="170"/>
        <w:gridCol w:w="404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4040" w:type="dxa"/>
            <w:tcBorders/>
            <w:vAlign w:val="center"/>
          </w:tcPr>
          <w:p>
            <w:pPr>
              <w:pStyle w:val="TableContents"/>
              <w:bidi w:val="0"/>
              <w:spacing w:before="0" w:after="283"/>
              <w:jc w:val="both"/>
              <w:rPr/>
            </w:pPr>
            <w:r>
              <w:rPr/>
              <w:t>compensate and indemnify the trustee; and</w:t>
            </w:r>
          </w:p>
        </w:tc>
      </w:tr>
    </w:tbl>
    <w:p>
      <w:pPr>
        <w:pStyle w:val="TextBody"/>
        <w:bidi w:val="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23"/>
        <w:gridCol w:w="170"/>
        <w:gridCol w:w="282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2825" w:type="dxa"/>
            <w:tcBorders/>
            <w:vAlign w:val="center"/>
          </w:tcPr>
          <w:p>
            <w:pPr>
              <w:pStyle w:val="TableContents"/>
              <w:bidi w:val="0"/>
              <w:spacing w:before="0" w:after="283"/>
              <w:jc w:val="both"/>
              <w:rPr/>
            </w:pPr>
            <w:r>
              <w:rPr/>
              <w:t>appoint any successor trustee.</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18</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register the transfer of or exchange any debt securities so selected for redemption, in whole or in part, except the unredeemed portion of any debt securities we are redeeming in part.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Debenture Trustee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is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 of Subordinated Debt Securities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19</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5" w:name="a_009"/>
      <w:bookmarkEnd w:id="25"/>
      <w:r>
        <w:rPr>
          <w:rFonts w:ascii="Times New Roman;Times;Serif" w:hAnsi="Times New Roman;Times;Serif"/>
          <w:b/>
          <w:i w:val="false"/>
          <w:caps w:val="false"/>
          <w:smallCaps w:val="false"/>
          <w:sz w:val="20"/>
        </w:rPr>
        <w:t>DESCRIPTION OF WARRANTS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contain, where applicable, the following terms of and other information relating to the warrants:</w:t>
      </w:r>
    </w:p>
    <w:p>
      <w:pPr>
        <w:pStyle w:val="TextBody"/>
        <w:bidi w:val="0"/>
        <w:jc w:val="left"/>
        <w:rPr>
          <w:caps w:val="false"/>
          <w:smallCaps w:val="false"/>
        </w:rPr>
      </w:pPr>
      <w:r>
        <w:rPr>
          <w:caps w:val="false"/>
          <w:smallCaps w:val="false"/>
        </w:rPr>
        <w:t> </w:t>
      </w:r>
    </w:p>
    <w:tbl>
      <w:tblPr>
        <w:tblW w:w="9663" w:type="dxa"/>
        <w:jc w:val="left"/>
        <w:tblInd w:w="0" w:type="dxa"/>
        <w:tblLayout w:type="fixed"/>
        <w:tblCellMar>
          <w:top w:w="0" w:type="dxa"/>
          <w:left w:w="0" w:type="dxa"/>
          <w:bottom w:w="0" w:type="dxa"/>
          <w:right w:w="0" w:type="dxa"/>
        </w:tblCellMar>
      </w:tblPr>
      <w:tblGrid>
        <w:gridCol w:w="23"/>
        <w:gridCol w:w="170"/>
        <w:gridCol w:w="947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9470" w:type="dxa"/>
            <w:tcBorders/>
            <w:vAlign w:val="center"/>
          </w:tcPr>
          <w:p>
            <w:pPr>
              <w:pStyle w:val="TableContents"/>
              <w:bidi w:val="0"/>
              <w:spacing w:before="0" w:after="283"/>
              <w:jc w:val="both"/>
              <w:rPr/>
            </w:pPr>
            <w:r>
              <w:rPr/>
              <w:t>the specific designation and aggregate number of, and the price at which we will issue, the warrants;</w:t>
            </w:r>
          </w:p>
        </w:tc>
      </w:tr>
    </w:tbl>
    <w:p>
      <w:pPr>
        <w:pStyle w:val="TextBody"/>
        <w:bidi w:val="0"/>
        <w:jc w:val="left"/>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23"/>
        <w:gridCol w:w="170"/>
        <w:gridCol w:w="942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9425" w:type="dxa"/>
            <w:tcBorders/>
            <w:vAlign w:val="center"/>
          </w:tcPr>
          <w:p>
            <w:pPr>
              <w:pStyle w:val="TableContents"/>
              <w:bidi w:val="0"/>
              <w:spacing w:before="0" w:after="283"/>
              <w:jc w:val="both"/>
              <w:rPr/>
            </w:pPr>
            <w:r>
              <w:rPr/>
              <w:t>the currency or currency units in which the offering price, if any, and the exercise price are payable;</w:t>
            </w:r>
          </w:p>
        </w:tc>
      </w:tr>
    </w:tbl>
    <w:p>
      <w:pPr>
        <w:pStyle w:val="TextBody"/>
        <w:bidi w:val="0"/>
        <w:jc w:val="left"/>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23"/>
        <w:gridCol w:w="170"/>
        <w:gridCol w:w="885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8855" w:type="dxa"/>
            <w:tcBorders/>
            <w:vAlign w:val="center"/>
          </w:tcPr>
          <w:p>
            <w:pPr>
              <w:pStyle w:val="TableContents"/>
              <w:bidi w:val="0"/>
              <w:spacing w:before="0" w:after="283"/>
              <w:jc w:val="both"/>
              <w:rPr/>
            </w:pPr>
            <w:r>
              <w:rPr/>
              <w:t>the designation, amount and terms of the securities purchasable upon exercise of the warrants;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if applicable, the exercise price for shares of our Common Stock and the number of shares of Common Stock to be received upon exercise of the warrants;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if applicable, the exercise price for shares of our preferred stock, the number of shares of preferred stock to be received upon exercise, and a description of that series of our preferred stock;</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if applicable, the exercise price for our debt securities, the amount of debt securities to be received upon exercise, and a description of that series of debt securities;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date on which the right to exercise the warrants will begin and the date on which that right will expire or, if you may not continuously exercise the warrants throughout that period, the specific date or dates on which you may exercise the warrants;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tc>
      </w:tr>
    </w:tbl>
    <w:p>
      <w:pPr>
        <w:pStyle w:val="TextBody"/>
        <w:bidi w:val="0"/>
        <w:jc w:val="left"/>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23"/>
        <w:gridCol w:w="170"/>
        <w:gridCol w:w="591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5915" w:type="dxa"/>
            <w:tcBorders/>
            <w:vAlign w:val="center"/>
          </w:tcPr>
          <w:p>
            <w:pPr>
              <w:pStyle w:val="TableContents"/>
              <w:bidi w:val="0"/>
              <w:spacing w:before="0" w:after="283"/>
              <w:jc w:val="both"/>
              <w:rPr/>
            </w:pPr>
            <w:r>
              <w:rPr/>
              <w:t>any applicable material U.S. federal income tax consequences;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identity of the warrant agent for the warrants and of any other depositaries, execution or paying agents, transfer agents, registrars or other agents;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proposed listing, if any, of the warrants or any securities purchasable upon exercise of the warrants on any securities exchange;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if applicable, the date from and after which the warrants and the Common Stock, preferred stock and/or debt securities will be separately transferable;</w:t>
            </w:r>
          </w:p>
        </w:tc>
      </w:tr>
    </w:tbl>
    <w:p>
      <w:pPr>
        <w:pStyle w:val="TextBody"/>
        <w:bidi w:val="0"/>
        <w:jc w:val="left"/>
        <w:rPr>
          <w:caps w:val="false"/>
          <w:smallCaps w:val="false"/>
        </w:rPr>
      </w:pPr>
      <w:r>
        <w:rPr>
          <w:caps w:val="false"/>
          <w:smallCaps w:val="false"/>
        </w:rPr>
        <w:t> </w:t>
      </w:r>
    </w:p>
    <w:tbl>
      <w:tblPr>
        <w:tblW w:w="9888" w:type="dxa"/>
        <w:jc w:val="left"/>
        <w:tblInd w:w="0" w:type="dxa"/>
        <w:tblLayout w:type="fixed"/>
        <w:tblCellMar>
          <w:top w:w="0" w:type="dxa"/>
          <w:left w:w="0" w:type="dxa"/>
          <w:bottom w:w="0" w:type="dxa"/>
          <w:right w:w="0" w:type="dxa"/>
        </w:tblCellMar>
      </w:tblPr>
      <w:tblGrid>
        <w:gridCol w:w="23"/>
        <w:gridCol w:w="170"/>
        <w:gridCol w:w="969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9695" w:type="dxa"/>
            <w:tcBorders/>
            <w:vAlign w:val="center"/>
          </w:tcPr>
          <w:p>
            <w:pPr>
              <w:pStyle w:val="TableContents"/>
              <w:bidi w:val="0"/>
              <w:spacing w:before="0" w:after="283"/>
              <w:jc w:val="both"/>
              <w:rPr/>
            </w:pPr>
            <w:r>
              <w:rPr/>
              <w:t>if applicable, the minimum or maximum amount of the warrants that may be exercised at any one time;</w:t>
            </w:r>
          </w:p>
        </w:tc>
      </w:tr>
    </w:tbl>
    <w:p>
      <w:pPr>
        <w:pStyle w:val="TextBody"/>
        <w:bidi w:val="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23"/>
        <w:gridCol w:w="170"/>
        <w:gridCol w:w="546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5465" w:type="dxa"/>
            <w:tcBorders/>
            <w:vAlign w:val="center"/>
          </w:tcPr>
          <w:p>
            <w:pPr>
              <w:pStyle w:val="TableContents"/>
              <w:bidi w:val="0"/>
              <w:spacing w:before="0" w:after="283"/>
              <w:jc w:val="both"/>
              <w:rPr/>
            </w:pPr>
            <w:r>
              <w:rPr/>
              <w:t>information with respect to book-entry procedures, if any;</w:t>
            </w:r>
          </w:p>
        </w:tc>
      </w:tr>
    </w:tbl>
    <w:p>
      <w:pPr>
        <w:pStyle w:val="TextBody"/>
        <w:bidi w:val="0"/>
        <w:jc w:val="left"/>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23"/>
        <w:gridCol w:w="170"/>
        <w:gridCol w:w="473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4730" w:type="dxa"/>
            <w:tcBorders/>
            <w:vAlign w:val="center"/>
          </w:tcPr>
          <w:p>
            <w:pPr>
              <w:pStyle w:val="TableContents"/>
              <w:bidi w:val="0"/>
              <w:spacing w:before="0" w:after="283"/>
              <w:jc w:val="both"/>
              <w:rPr/>
            </w:pPr>
            <w:r>
              <w:rPr/>
              <w:t>the anti-dilution provisions of the warrants, if any;</w:t>
            </w:r>
          </w:p>
        </w:tc>
      </w:tr>
    </w:tbl>
    <w:p>
      <w:pPr>
        <w:pStyle w:val="TextBody"/>
        <w:bidi w:val="0"/>
        <w:jc w:val="left"/>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23"/>
        <w:gridCol w:w="170"/>
        <w:gridCol w:w="323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3230" w:type="dxa"/>
            <w:tcBorders/>
            <w:vAlign w:val="center"/>
          </w:tcPr>
          <w:p>
            <w:pPr>
              <w:pStyle w:val="TableContents"/>
              <w:bidi w:val="0"/>
              <w:spacing w:before="0" w:after="283"/>
              <w:jc w:val="both"/>
              <w:rPr/>
            </w:pPr>
            <w:r>
              <w:rPr/>
              <w:t>any redemption or call provisions;</w:t>
            </w:r>
          </w:p>
        </w:tc>
      </w:tr>
    </w:tbl>
    <w:p>
      <w:pPr>
        <w:pStyle w:val="TextBody"/>
        <w:bidi w:val="0"/>
        <w:jc w:val="left"/>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23"/>
        <w:gridCol w:w="170"/>
        <w:gridCol w:w="840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8405" w:type="dxa"/>
            <w:tcBorders/>
            <w:vAlign w:val="center"/>
          </w:tcPr>
          <w:p>
            <w:pPr>
              <w:pStyle w:val="TableContents"/>
              <w:bidi w:val="0"/>
              <w:spacing w:before="0" w:after="283"/>
              <w:jc w:val="both"/>
              <w:rPr/>
            </w:pPr>
            <w:r>
              <w:rPr/>
              <w:t>whether the warrants may be sold separately or with other securities as parts of units;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any additional terms of the warrants, including terms, procedures and limitations relating to the exchange and exercise of the warrants.</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any warrants will be set forth in the applicable prospectus supplement.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20</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6" w:name="a_010"/>
      <w:bookmarkEnd w:id="26"/>
      <w:r>
        <w:rPr>
          <w:rFonts w:ascii="Times New Roman;Times;Serif" w:hAnsi="Times New Roman;Times;Serif"/>
          <w:b/>
          <w:i w:val="false"/>
          <w:caps w:val="false"/>
          <w:smallCaps w:val="false"/>
          <w:sz w:val="20"/>
        </w:rPr>
        <w:t>DESCRIPTION OF RIGHTS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 We will provide in a prospectus supplement the following terms of the rights being issued:</w:t>
      </w:r>
    </w:p>
    <w:p>
      <w:pPr>
        <w:pStyle w:val="TextBody"/>
        <w:bidi w:val="0"/>
        <w:jc w:val="left"/>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23"/>
        <w:gridCol w:w="170"/>
        <w:gridCol w:w="689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6890" w:type="dxa"/>
            <w:tcBorders/>
            <w:vAlign w:val="center"/>
          </w:tcPr>
          <w:p>
            <w:pPr>
              <w:pStyle w:val="TableContents"/>
              <w:bidi w:val="0"/>
              <w:spacing w:before="0" w:after="283"/>
              <w:jc w:val="both"/>
              <w:rPr/>
            </w:pPr>
            <w:r>
              <w:rPr/>
              <w:t>the date of determining the stockholders entitled to the rights distribution;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aggregate number of shares of Common Stock, preferred stock or other securities purchasable upon exercise of the rights;</w:t>
            </w:r>
          </w:p>
        </w:tc>
      </w:tr>
    </w:tbl>
    <w:p>
      <w:pPr>
        <w:pStyle w:val="TextBody"/>
        <w:bidi w:val="0"/>
        <w:jc w:val="left"/>
        <w:rPr>
          <w:caps w:val="false"/>
          <w:smallCaps w:val="false"/>
        </w:rPr>
      </w:pPr>
      <w:r>
        <w:rPr>
          <w:caps w:val="false"/>
          <w:smallCaps w:val="false"/>
        </w:rPr>
        <w:t> </w:t>
      </w:r>
    </w:p>
    <w:tbl>
      <w:tblPr>
        <w:tblW w:w="1908" w:type="dxa"/>
        <w:jc w:val="left"/>
        <w:tblInd w:w="0" w:type="dxa"/>
        <w:tblLayout w:type="fixed"/>
        <w:tblCellMar>
          <w:top w:w="0" w:type="dxa"/>
          <w:left w:w="0" w:type="dxa"/>
          <w:bottom w:w="0" w:type="dxa"/>
          <w:right w:w="0" w:type="dxa"/>
        </w:tblCellMar>
      </w:tblPr>
      <w:tblGrid>
        <w:gridCol w:w="23"/>
        <w:gridCol w:w="170"/>
        <w:gridCol w:w="171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715" w:type="dxa"/>
            <w:tcBorders/>
            <w:vAlign w:val="center"/>
          </w:tcPr>
          <w:p>
            <w:pPr>
              <w:pStyle w:val="TableContents"/>
              <w:bidi w:val="0"/>
              <w:spacing w:before="0" w:after="283"/>
              <w:jc w:val="both"/>
              <w:rPr/>
            </w:pPr>
            <w:r>
              <w:rPr/>
              <w:t>the exercise price;</w:t>
            </w:r>
          </w:p>
        </w:tc>
      </w:tr>
    </w:tbl>
    <w:p>
      <w:pPr>
        <w:pStyle w:val="TextBody"/>
        <w:bidi w:val="0"/>
        <w:jc w:val="left"/>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23"/>
        <w:gridCol w:w="170"/>
        <w:gridCol w:w="360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3605" w:type="dxa"/>
            <w:tcBorders/>
            <w:vAlign w:val="center"/>
          </w:tcPr>
          <w:p>
            <w:pPr>
              <w:pStyle w:val="TableContents"/>
              <w:bidi w:val="0"/>
              <w:spacing w:before="0" w:after="283"/>
              <w:jc w:val="both"/>
              <w:rPr/>
            </w:pPr>
            <w:r>
              <w:rPr/>
              <w:t>the aggregate number of rights issued;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whether the rights are transferrable and the date, if any, on and after which the rights may be separately transferred;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date on which the right to exercise the rights will commence, and the date on which the right to exercise the rights will expire;</w:t>
            </w:r>
          </w:p>
        </w:tc>
      </w:tr>
    </w:tbl>
    <w:p>
      <w:pPr>
        <w:pStyle w:val="TextBody"/>
        <w:bidi w:val="0"/>
        <w:jc w:val="left"/>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23"/>
        <w:gridCol w:w="170"/>
        <w:gridCol w:w="618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6185" w:type="dxa"/>
            <w:tcBorders/>
            <w:vAlign w:val="center"/>
          </w:tcPr>
          <w:p>
            <w:pPr>
              <w:pStyle w:val="TableContents"/>
              <w:bidi w:val="0"/>
              <w:spacing w:before="0" w:after="283"/>
              <w:jc w:val="both"/>
              <w:rPr/>
            </w:pPr>
            <w:r>
              <w:rPr/>
              <w:t>the method by which holders of rights will be entitled to exercise;</w:t>
            </w:r>
          </w:p>
        </w:tc>
      </w:tr>
    </w:tbl>
    <w:p>
      <w:pPr>
        <w:pStyle w:val="TextBody"/>
        <w:bidi w:val="0"/>
        <w:jc w:val="left"/>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23"/>
        <w:gridCol w:w="170"/>
        <w:gridCol w:w="516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5165" w:type="dxa"/>
            <w:tcBorders/>
            <w:vAlign w:val="center"/>
          </w:tcPr>
          <w:p>
            <w:pPr>
              <w:pStyle w:val="TableContents"/>
              <w:bidi w:val="0"/>
              <w:spacing w:before="0" w:after="283"/>
              <w:jc w:val="both"/>
              <w:rPr/>
            </w:pPr>
            <w:r>
              <w:rPr/>
              <w:t>the conditions to the completion of the offering, if any;</w:t>
            </w:r>
          </w:p>
        </w:tc>
      </w:tr>
    </w:tbl>
    <w:p>
      <w:pPr>
        <w:pStyle w:val="TextBody"/>
        <w:bidi w:val="0"/>
        <w:jc w:val="left"/>
        <w:rPr>
          <w:caps w:val="false"/>
          <w:smallCaps w:val="false"/>
        </w:rPr>
      </w:pPr>
      <w:r>
        <w:rPr>
          <w:caps w:val="false"/>
          <w:smallCaps w:val="false"/>
        </w:rPr>
        <w:t> </w:t>
      </w:r>
    </w:p>
    <w:tbl>
      <w:tblPr>
        <w:tblW w:w="5703" w:type="dxa"/>
        <w:jc w:val="left"/>
        <w:tblInd w:w="0" w:type="dxa"/>
        <w:tblLayout w:type="fixed"/>
        <w:tblCellMar>
          <w:top w:w="0" w:type="dxa"/>
          <w:left w:w="0" w:type="dxa"/>
          <w:bottom w:w="0" w:type="dxa"/>
          <w:right w:w="0" w:type="dxa"/>
        </w:tblCellMar>
      </w:tblPr>
      <w:tblGrid>
        <w:gridCol w:w="23"/>
        <w:gridCol w:w="170"/>
        <w:gridCol w:w="551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5510" w:type="dxa"/>
            <w:tcBorders/>
            <w:vAlign w:val="center"/>
          </w:tcPr>
          <w:p>
            <w:pPr>
              <w:pStyle w:val="TableContents"/>
              <w:bidi w:val="0"/>
              <w:spacing w:before="0" w:after="283"/>
              <w:jc w:val="both"/>
              <w:rPr/>
            </w:pPr>
            <w:r>
              <w:rPr/>
              <w:t>the withdrawal, termination and cancellation rights, if 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whether there are any backstop or standby purchaser or purchasers and the terms of their commitment, if any;</w:t>
            </w:r>
          </w:p>
        </w:tc>
      </w:tr>
    </w:tbl>
    <w:p>
      <w:pPr>
        <w:pStyle w:val="TextBody"/>
        <w:bidi w:val="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23"/>
        <w:gridCol w:w="170"/>
        <w:gridCol w:w="6290"/>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6290" w:type="dxa"/>
            <w:tcBorders/>
            <w:vAlign w:val="center"/>
          </w:tcPr>
          <w:p>
            <w:pPr>
              <w:pStyle w:val="TableContents"/>
              <w:bidi w:val="0"/>
              <w:spacing w:before="0" w:after="283"/>
              <w:jc w:val="both"/>
              <w:rPr/>
            </w:pPr>
            <w:r>
              <w:rPr/>
              <w:t>whether stockholders are entitled to oversubscription rights, if any;</w:t>
            </w:r>
          </w:p>
        </w:tc>
      </w:tr>
    </w:tbl>
    <w:p>
      <w:pPr>
        <w:pStyle w:val="TextBody"/>
        <w:bidi w:val="0"/>
        <w:jc w:val="left"/>
        <w:rPr>
          <w:caps w:val="false"/>
          <w:smallCaps w:val="false"/>
        </w:rPr>
      </w:pPr>
      <w:r>
        <w:rPr>
          <w:caps w:val="false"/>
          <w:smallCaps w:val="false"/>
        </w:rPr>
        <w:t> </w:t>
      </w:r>
    </w:p>
    <w:tbl>
      <w:tblPr>
        <w:tblW w:w="6558" w:type="dxa"/>
        <w:jc w:val="left"/>
        <w:tblInd w:w="0" w:type="dxa"/>
        <w:tblLayout w:type="fixed"/>
        <w:tblCellMar>
          <w:top w:w="0" w:type="dxa"/>
          <w:left w:w="0" w:type="dxa"/>
          <w:bottom w:w="0" w:type="dxa"/>
          <w:right w:w="0" w:type="dxa"/>
        </w:tblCellMar>
      </w:tblPr>
      <w:tblGrid>
        <w:gridCol w:w="23"/>
        <w:gridCol w:w="170"/>
        <w:gridCol w:w="636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6365" w:type="dxa"/>
            <w:tcBorders/>
            <w:vAlign w:val="center"/>
          </w:tcPr>
          <w:p>
            <w:pPr>
              <w:pStyle w:val="TableContents"/>
              <w:bidi w:val="0"/>
              <w:spacing w:before="0" w:after="283"/>
              <w:jc w:val="both"/>
              <w:rPr/>
            </w:pPr>
            <w:r>
              <w:rPr/>
              <w:t>any applicable material U.S. federal income tax considerations;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any other terms of the rights, including terms, procedures and limitations relating to the distribution, exchange and exercise of the rights, as applicable.</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applicable prospectus supplement. Upon receipt of payment and the rights certificate properly completed and duly executed at the corporate trust office of the rights agent or any other office indicated in the applicable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Agent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agent for any rights we offer will be set forth in the applicable prospectus supplement.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21</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7" w:name="a_011"/>
      <w:bookmarkEnd w:id="27"/>
      <w:r>
        <w:rPr>
          <w:rFonts w:ascii="Times New Roman;Times;Serif" w:hAnsi="Times New Roman;Times;Serif"/>
          <w:b/>
          <w:i w:val="false"/>
          <w:caps w:val="false"/>
          <w:smallCaps w:val="false"/>
          <w:sz w:val="20"/>
        </w:rPr>
        <w:t>DESCRIPTION OF UNITS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Common Stock, preferred stock, one or more debt securities, warrants or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being offered, including:</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the designation and terms of the units and of the securities comprising the units, including whether and under what circumstances those securities may be held or transferred separately;</w:t>
            </w:r>
          </w:p>
        </w:tc>
      </w:tr>
    </w:tbl>
    <w:p>
      <w:pPr>
        <w:pStyle w:val="TextBody"/>
        <w:bidi w:val="0"/>
        <w:jc w:val="left"/>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23"/>
        <w:gridCol w:w="170"/>
        <w:gridCol w:w="8585"/>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8585" w:type="dxa"/>
            <w:tcBorders/>
            <w:vAlign w:val="center"/>
          </w:tcPr>
          <w:p>
            <w:pPr>
              <w:pStyle w:val="TableContents"/>
              <w:bidi w:val="0"/>
              <w:spacing w:before="0" w:after="283"/>
              <w:jc w:val="both"/>
              <w:rPr/>
            </w:pPr>
            <w:r>
              <w:rPr/>
              <w:t>any provisions of the governing unit agreement that differ from those described below; and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any provisions for the issuance, payment, settlement, transfer or exchange of the units or of the securities comprising the units.</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Agent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address of the unit agent, if any, for any units we offer will be set forth in the applicable prospectus supplement.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in Series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such numerous distinct series as we determine.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22</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MATTERS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certain legal matters in connection with the offering and the validity of the securities offered by this prospectus, and any supplement thereto, will be passed upon by Manatt, Phelps &amp; Phillips, LLP, Costa Mesa, California.</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8" w:name="a_012"/>
      <w:bookmarkEnd w:id="28"/>
      <w:r>
        <w:rPr>
          <w:rFonts w:ascii="Times New Roman;Times;Serif" w:hAnsi="Times New Roman;Times;Serif"/>
          <w:b/>
          <w:i w:val="false"/>
          <w:caps w:val="false"/>
          <w:smallCaps w:val="false"/>
          <w:sz w:val="20"/>
        </w:rPr>
        <w:t>EXPERTS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NeOnc Technologies Holdings Inc. incorporated in this prospectus by reference to the Annual Report on Form 10-K for the year ended December 31, 2025 have been so incorporated in reliance on (i) the report of CBIZ CPAs P.C., an independent registered public accounting firm, given on the authority of said firm as experts in auditing and accounting, with respect to the financial statements of the Company for the year ended December 31, 2025, and (ii) the report of Marcum LLP, an independent registered public accounting firm, given on the authority of said firm as experts in auditing and accounting, with respect to the financial statements of the Company for the year ended December 31, 2024. Such financial reports are incorporated by reference in reliance upon the reports of such firm given upon their authority as experts in accounting and auditing.</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9" w:name="a_013"/>
      <w:bookmarkEnd w:id="29"/>
      <w:r>
        <w:rPr>
          <w:rFonts w:ascii="Times New Roman;Times;Serif" w:hAnsi="Times New Roman;Times;Serif"/>
          <w:b/>
          <w:i w:val="false"/>
          <w:caps w:val="false"/>
          <w:smallCaps w:val="false"/>
          <w:sz w:val="20"/>
        </w:rPr>
        <w:t>WHERE YOU CAN FIND MORE INFORMATION</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Any statement made in this prospectus or the applicable prospectus supplement concerning the contents of any contract, agreement or other document is only a summary of the actual contract, agreement or other document. If we have filed or incorporated by reference any contract, agreement or other document as an exhibit to the registration statement, you should read the exhibit for a more complete understanding of the document or matter involved. Each statement regarding a contract, agreement or other document is qualified by reference to the actual document. You should rely only on the information contained in the registration statement this prospectus, and the applicable prospectus supplement or the information incorporated by reference into this prospectus or the applicable prospectus supplement.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current reports, proxy statements and other information with the SEC. The SEC maintains a website that contains reports, proxy statements and other information regarding issuers that file electronically with the SEC, including NeOnc. The address of the SEC website is </w:t>
      </w:r>
      <w:r>
        <w:rPr>
          <w:rFonts w:ascii="Times New Roman;Times;Serif" w:hAnsi="Times New Roman;Times;Serif"/>
          <w:b w:val="false"/>
          <w:i/>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maintain a website at </w:t>
      </w:r>
      <w:r>
        <w:rPr>
          <w:rFonts w:ascii="Times New Roman;Times;Serif" w:hAnsi="Times New Roman;Times;Serif"/>
          <w:b w:val="false"/>
          <w:i/>
          <w:caps w:val="false"/>
          <w:smallCaps w:val="false"/>
          <w:sz w:val="20"/>
        </w:rPr>
        <w:t>www.neonc.com</w:t>
      </w:r>
      <w:r>
        <w:rPr>
          <w:rFonts w:ascii="Times New Roman;Times;Serif" w:hAnsi="Times New Roman;Times;Serif"/>
          <w:b w:val="false"/>
          <w:i w:val="false"/>
          <w:caps w:val="false"/>
          <w:smallCaps w:val="false"/>
          <w:sz w:val="20"/>
        </w:rPr>
        <w:t>. The information contained on, or that can be accessed through, our website is not a part of this prospectus, and our reference to the address for our website is intended to be an inactive textual reference only.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23</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30" w:name="a_014"/>
      <w:bookmarkEnd w:id="30"/>
      <w:r>
        <w:rPr>
          <w:rFonts w:ascii="Times New Roman;Times;Serif" w:hAnsi="Times New Roman;Times;Serif"/>
          <w:b/>
          <w:i w:val="false"/>
          <w:caps w:val="false"/>
          <w:smallCaps w:val="false"/>
          <w:sz w:val="20"/>
        </w:rPr>
        <w:t>INCORPORATION OF CERTAIN INFORMATION BY REFERENCE</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sz w:val="20"/>
              </w:rPr>
              <w:t xml:space="preserve">our Annual Report on Form 10-K for the fiscal year ended December 31, 2025, as filed with the Commission on </w:t>
            </w:r>
            <w:hyperlink r:id="rId20">
              <w:r>
                <w:rPr>
                  <w:rStyle w:val="InternetLink"/>
                  <w:sz w:val="20"/>
                </w:rPr>
                <w:t>March 31, 2026</w:t>
              </w:r>
            </w:hyperlink>
            <w:r>
              <w:rPr>
                <w:sz w:val="20"/>
              </w:rPr>
              <w: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70" w:type="dxa"/>
            <w:tcBorders/>
            <w:vAlign w:val="center"/>
          </w:tcPr>
          <w:p>
            <w:pPr>
              <w:pStyle w:val="TableContents"/>
              <w:bidi w:val="0"/>
              <w:spacing w:before="0" w:after="283"/>
              <w:ind w:left="0" w:right="0" w:hanging="0"/>
              <w:jc w:val="left"/>
              <w:rPr/>
            </w:pPr>
            <w:r>
              <w:rPr/>
              <w:t>●</w:t>
            </w:r>
          </w:p>
        </w:tc>
        <w:tc>
          <w:tcPr>
            <w:tcW w:w="10012" w:type="dxa"/>
            <w:tcBorders/>
            <w:vAlign w:val="center"/>
          </w:tcPr>
          <w:p>
            <w:pPr>
              <w:pStyle w:val="TableContents"/>
              <w:bidi w:val="0"/>
              <w:spacing w:before="0" w:after="283"/>
              <w:jc w:val="both"/>
              <w:rPr/>
            </w:pPr>
            <w:r>
              <w:rPr/>
              <w:t xml:space="preserve">the description of our common stock, which is contained in the Registrant’s Annual Report on Form 10-K for the fiscal year ended December 31, 2025 filed on </w:t>
            </w:r>
            <w:hyperlink r:id="rId21">
              <w:r>
                <w:rPr>
                  <w:rStyle w:val="InternetLink"/>
                </w:rPr>
                <w:t>March 31, 2026</w:t>
              </w:r>
            </w:hyperlink>
            <w:r>
              <w:rPr/>
              <w:t>, including any amendments or supplements thereto.</w:t>
            </w:r>
          </w:p>
        </w:tc>
      </w:tr>
    </w:tbl>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reports and other documents filed by us pursuant to the Exchange Act after the date of the initial registration statement and prior to effectiveness of the registration statement shall be deemed to be incorporated by reference into this prospectus and deemed to be a part of this prospectus from the date of filing of such reports and documents. Notwithstanding the foregoing, we are not incorporating by reference any documents or portions thereof that are not deemed “filed” with the SEC, including any information furnished pursuant to Items 2.02 or 7.01 of Form 8-K or related exhibits furnished pursuant to Item 9.01 of Form 8-K. Any statement contained in a document incorporated or deemed to be incorporated by reference herein shall be deemed to be modified or superseded for purposes of the registration statement of which this prospectus forms a part to the extent that a statement contained in any subsequently filed document, which also is deemed to be incorporated by reference herein, modifies or supersedes such statement.</w:t>
      </w:r>
    </w:p>
    <w:p>
      <w:pPr>
        <w:pStyle w:val="TextBody"/>
        <w:bidi w:val="0"/>
        <w:jc w:val="left"/>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request, orally or in writing, a copy of any or all of the documents incorporated herein by reference. These documents will be provided to you at no cost, by calling us at (310) 663-7831 or by contacting: 23975 Park Sorrento, Suite 205 Calabasas, California 91302, Attn: Corporate Secretary. In addition, copies of any or all of the documents incorporated herein by reference may be accessed at our website at </w:t>
      </w:r>
      <w:r>
        <w:rPr>
          <w:rFonts w:ascii="Times New Roman;Times;Serif" w:hAnsi="Times New Roman;Times;Serif"/>
          <w:b w:val="false"/>
          <w:i/>
          <w:caps w:val="false"/>
          <w:smallCaps w:val="false"/>
          <w:sz w:val="20"/>
        </w:rPr>
        <w:t>www.neonc.com</w:t>
      </w:r>
      <w:r>
        <w:rPr>
          <w:rFonts w:ascii="Times New Roman;Times;Serif" w:hAnsi="Times New Roman;Times;Serif"/>
          <w:b w:val="false"/>
          <w:i w:val="false"/>
          <w:caps w:val="false"/>
          <w:smallCaps w:val="false"/>
          <w:sz w:val="20"/>
        </w:rPr>
        <w:t>. The information contained on, or that can be accessed through, our website is not a part of this prospectus, and our reference to the address for our website is intended to be an inactive textual reference only.</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24</w:t>
      </w:r>
    </w:p>
    <w:p>
      <w:pPr>
        <w:pStyle w:val="TextBody"/>
        <w:bidi w:val="0"/>
        <w:spacing w:before="0" w:after="0"/>
        <w:jc w:val="center"/>
        <w:rPr/>
      </w:pPr>
      <w:r>
        <w:rPr/>
        <w:t> </w:t>
      </w:r>
    </w:p>
    <w:p>
      <w:pPr>
        <w:pStyle w:val="TextBody"/>
        <w:bidi w:val="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2381250" cy="742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2"/>
                    <a:stretch>
                      <a:fillRect/>
                    </a:stretch>
                  </pic:blipFill>
                  <pic:spPr bwMode="auto">
                    <a:xfrm>
                      <a:off x="0" y="0"/>
                      <a:ext cx="2381250" cy="74295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2,610,715 shares of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960,715 Pre-Funded Warrants to Purchase up to 960,715 shares of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3,571,430 Warrants to Purchase up to 3,571,430 shares of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4,532,145 shares of Common Stock underlying the Pre-Funded Warrants and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2300"/>
        <w:gridCol w:w="60"/>
        <w:gridCol w:w="725"/>
      </w:tblGrid>
      <w:tr>
        <w:trPr/>
        <w:tc>
          <w:tcPr>
            <w:tcW w:w="2300" w:type="dxa"/>
            <w:tcBorders/>
            <w:vAlign w:val="center"/>
          </w:tcPr>
          <w:p>
            <w:pPr>
              <w:pStyle w:val="TableContents"/>
              <w:bidi w:val="0"/>
              <w:spacing w:before="0" w:after="283"/>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Roth Capital Partners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25" w:type="dxa"/>
            <w:tcBorders/>
            <w:vAlign w:val="center"/>
          </w:tcPr>
          <w:p>
            <w:pPr>
              <w:pStyle w:val="TableContents"/>
              <w:bidi w:val="0"/>
              <w:spacing w:before="0" w:after="283"/>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A.G.P.</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8, 2026</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ec.gov/ix?doc=/Archives/edgar/data/1979414/000182912626002860/neonctechnologies_10k.htm" TargetMode="External"/><Relationship Id="rId4" Type="http://schemas.openxmlformats.org/officeDocument/2006/relationships/hyperlink" Target="https://www.sec.gov/ix?doc=/Archives/edgar/data/1979414/000182912626004495/neonctechnologies_10ka.htm" TargetMode="External"/><Relationship Id="rId5" Type="http://schemas.openxmlformats.org/officeDocument/2006/relationships/hyperlink" Target="https://www.sec.gov/ix?doc=/Archives/edgar/data/1979414/000182912626005358/neonctechnologies_10q.htm" TargetMode="External"/><Relationship Id="rId6" Type="http://schemas.openxmlformats.org/officeDocument/2006/relationships/hyperlink" Target="https://www.sec.gov/ix?doc=/Archives/edgar/data/1979414/000182912626008512/neonctechnologies_10q.htm" TargetMode="External"/><Relationship Id="rId7" Type="http://schemas.openxmlformats.org/officeDocument/2006/relationships/hyperlink" Target="https://www.sec.gov/ix?doc=/Archives/edgar/data/1979414/000182912626000757/neonctechnologies_8k.htm" TargetMode="External"/><Relationship Id="rId8" Type="http://schemas.openxmlformats.org/officeDocument/2006/relationships/hyperlink" Target="https://www.sec.gov/ix?doc=/Archives/edgar/data/1979414/000182912626001885/neonctechnologies_8k.htm" TargetMode="External"/><Relationship Id="rId9" Type="http://schemas.openxmlformats.org/officeDocument/2006/relationships/hyperlink" Target="https://www.sec.gov/ix?doc=/Archives/edgar/data/1979414/000182912626001927/neonctechnologies_8k.htm" TargetMode="External"/><Relationship Id="rId10" Type="http://schemas.openxmlformats.org/officeDocument/2006/relationships/hyperlink" Target="https://www.sec.gov/ix?doc=/Archives/edgar/data/1979414/000182912626002331/neonctechnologies_8k.htm" TargetMode="External"/><Relationship Id="rId11" Type="http://schemas.openxmlformats.org/officeDocument/2006/relationships/hyperlink" Target="https://www.sec.gov/ix?doc=/Archives/edgar/data/1979414/000182912626002610/neonctechnologies_8k.htm" TargetMode="External"/><Relationship Id="rId12" Type="http://schemas.openxmlformats.org/officeDocument/2006/relationships/hyperlink" Target="https://www.sec.gov/ix?doc=/Archives/edgar/data/1979414/000182912626003401/neonctechnologies_8k.htm" TargetMode="External"/><Relationship Id="rId13" Type="http://schemas.openxmlformats.org/officeDocument/2006/relationships/hyperlink" Target="https://www.sec.gov/ix?doc=/Archives/edgar/data/1979414/000182912626003882/neonctechnologies_8k.htm" TargetMode="External"/><Relationship Id="rId14" Type="http://schemas.openxmlformats.org/officeDocument/2006/relationships/hyperlink" Target="https://www.sec.gov/ix?doc=/Archives/edgar/data/1979414/000182912626006400/neonctechnologies_8k.htm" TargetMode="External"/><Relationship Id="rId15" Type="http://schemas.openxmlformats.org/officeDocument/2006/relationships/hyperlink" Target="https://www.sec.gov/ix?doc=/Archives/edgar/data/1979414/000182912626007213/neonctechnologies_8k.htm" TargetMode="External"/><Relationship Id="rId16" Type="http://schemas.openxmlformats.org/officeDocument/2006/relationships/hyperlink" Target="https://www.sec.gov/ix?doc=/Archives/edgar/data/1979414/000182912626009103/neonctechnologies_8k.htm" TargetMode="External"/><Relationship Id="rId17" Type="http://schemas.openxmlformats.org/officeDocument/2006/relationships/hyperlink" Target="https://www.sec.gov/ix?doc=/Archives/edgar/data/1979414/000182912626009220/neonctechnologies_8ka.htm" TargetMode="External"/><Relationship Id="rId18" Type="http://schemas.openxmlformats.org/officeDocument/2006/relationships/hyperlink" Target="https://www.sec.gov/ix?doc=/Archives/edgar/data/1979414/000182912626002860/neonctechnologies_10k.htm" TargetMode="External"/><Relationship Id="rId19" Type="http://schemas.openxmlformats.org/officeDocument/2006/relationships/image" Target="media/image1.png"/><Relationship Id="rId20" Type="http://schemas.openxmlformats.org/officeDocument/2006/relationships/hyperlink" Target="https://www.sec.gov/ix?doc=/Archives/edgar/data/1979414/000182912626002860/neonctechnologies_10k.htm" TargetMode="External"/><Relationship Id="rId21" Type="http://schemas.openxmlformats.org/officeDocument/2006/relationships/hyperlink" Target="https://www.sec.gov/ix?doc=/Archives/edgar/data/1979414/000182912626002860/neonctechnologies_10k.htm" TargetMode="External"/><Relationship Id="rId22" Type="http://schemas.openxmlformats.org/officeDocument/2006/relationships/image" Target="media/image1.pn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28702</Words>
  <Characters>151910</Characters>
  <CharactersWithSpaces>180623</CharactersWithSpaces>
  <Paragraphs>1995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