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10q.htm"/>
      <w:bookmarkStart w:id="1" w:name="ksneonctechnologies_10q"/>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50101__20"/>
      <w:bookmarkEnd w:id="2"/>
      <w:r>
        <w:rPr>
          <w:rFonts w:ascii="Times New Roman;Times;Serif" w:hAnsi="Times New Roman;Times;Serif"/>
          <w:b/>
          <w:i w:val="false"/>
          <w:caps w:val="false"/>
          <w:smallCaps w:val="false"/>
          <w:sz w:val="28"/>
        </w:rPr>
        <w:t>10-Q</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bookmarkStart w:id="3" w:name="xdx_90E_edei--DocumentQuarterlyReport_c2"/>
      <w:bookmarkEnd w:id="3"/>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4_edei--DocumentPeriodEndDate_c202"/>
      <w:bookmarkEnd w:id="4"/>
      <w:r>
        <w:rPr>
          <w:rFonts w:ascii="Times New Roman;Times;Serif" w:hAnsi="Times New Roman;Times;Serif"/>
          <w:b/>
          <w:i w:val="false"/>
          <w:caps w:val="false"/>
          <w:smallCaps w:val="false"/>
          <w:sz w:val="20"/>
        </w:rPr>
        <w:t>September 30,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 w:name="xdx_905_edei--DocumentTransitionReport_c"/>
      <w:bookmarkEnd w:id="5"/>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val="false"/>
          <w:i w:val="false"/>
          <w:caps w:val="false"/>
          <w:smallCaps w:val="false"/>
          <w:sz w:val="20"/>
        </w:rPr>
        <w:t xml:space="preserve">______ </w:t>
      </w:r>
      <w:r>
        <w:rPr>
          <w:rFonts w:ascii="Times New Roman;Times;Serif" w:hAnsi="Times New Roman;Times;Serif"/>
          <w:b/>
          <w:i w:val="false"/>
          <w:caps w:val="false"/>
          <w:smallCaps w:val="false"/>
          <w:sz w:val="20"/>
        </w:rPr>
        <w:t xml:space="preserve">to </w:t>
      </w:r>
      <w:r>
        <w:rPr>
          <w:rFonts w:ascii="Times New Roman;Times;Serif" w:hAnsi="Times New Roman;Times;Serif"/>
          <w:b w:val="false"/>
          <w:i w:val="false"/>
          <w:caps w:val="false"/>
          <w:smallCaps w:val="false"/>
          <w:sz w:val="20"/>
        </w:rPr>
        <w:t>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6_edei--EntityFileNumber_c20250101"/>
      <w:bookmarkEnd w:id="6"/>
      <w:r>
        <w:rPr>
          <w:rFonts w:ascii="Times New Roman;Times;Serif" w:hAnsi="Times New Roman;Times;Serif"/>
          <w:b/>
          <w:i w:val="false"/>
          <w:caps w:val="false"/>
          <w:smallCaps w:val="false"/>
          <w:sz w:val="20"/>
        </w:rPr>
        <w:t>801-42567</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7" w:name="xdx_90A_edei--EntityRegistrantName_c2025"/>
      <w:bookmarkEnd w:id="7"/>
      <w:r>
        <w:rPr>
          <w:rFonts w:ascii="Times New Roman;Times;Serif" w:hAnsi="Times New Roman;Times;Serif"/>
          <w:b/>
          <w:i w:val="false"/>
          <w:caps w:val="false"/>
          <w:smallCaps w:val="false"/>
          <w:sz w:val="28"/>
        </w:rPr>
        <w:t>NEONC TECHNOLOGIES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8" w:space="0" w:color="000000"/>
            </w:tcBorders>
            <w:vAlign w:val="center"/>
          </w:tcPr>
          <w:p>
            <w:pPr>
              <w:pStyle w:val="TableContents"/>
              <w:bidi w:val="0"/>
              <w:spacing w:before="0" w:after="283"/>
              <w:jc w:val="center"/>
              <w:rPr>
                <w:b/>
              </w:rPr>
            </w:pPr>
            <w:bookmarkStart w:id="8" w:name="xdx_904_edei--EntityIncorporationStateCo"/>
            <w:bookmarkEnd w:id="8"/>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9" w:name="xdx_902_edei--EntityTaxIdentificationNum"/>
            <w:bookmarkEnd w:id="9"/>
            <w:r>
              <w:rPr>
                <w:b/>
              </w:rPr>
              <w:t>95-1954864</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jc w:val="left"/>
        <w:rPr>
          <w:caps w:val="false"/>
          <w:smallCaps w:val="false"/>
        </w:rPr>
      </w:pPr>
      <w:r>
        <w:rPr>
          <w:caps w:val="false"/>
          <w:smallCaps w:val="false"/>
        </w:rPr>
        <w:t> </w:t>
      </w:r>
    </w:p>
    <w:tbl>
      <w:tblPr>
        <w:tblW w:w="5875" w:type="dxa"/>
        <w:jc w:val="left"/>
        <w:tblInd w:w="0" w:type="dxa"/>
        <w:tblLayout w:type="fixed"/>
        <w:tblCellMar>
          <w:top w:w="0" w:type="dxa"/>
          <w:left w:w="0" w:type="dxa"/>
          <w:bottom w:w="28" w:type="dxa"/>
          <w:right w:w="0" w:type="dxa"/>
        </w:tblCellMar>
      </w:tblPr>
      <w:tblGrid>
        <w:gridCol w:w="4730"/>
        <w:gridCol w:w="60"/>
        <w:gridCol w:w="1085"/>
      </w:tblGrid>
      <w:tr>
        <w:trPr/>
        <w:tc>
          <w:tcPr>
            <w:tcW w:w="4730" w:type="dxa"/>
            <w:tcBorders>
              <w:bottom w:val="single" w:sz="8" w:space="0" w:color="000000"/>
            </w:tcBorders>
            <w:vAlign w:val="center"/>
          </w:tcPr>
          <w:p>
            <w:pPr>
              <w:pStyle w:val="TableContents"/>
              <w:bidi w:val="0"/>
              <w:spacing w:before="0" w:after="283"/>
              <w:jc w:val="center"/>
              <w:rPr>
                <w:b/>
              </w:rPr>
            </w:pPr>
            <w:bookmarkStart w:id="10" w:name="xdx_903_edei--EntityAddressAddressLine1_"/>
            <w:bookmarkEnd w:id="10"/>
            <w:r>
              <w:rPr>
                <w:b/>
              </w:rPr>
              <w:t xml:space="preserve">23975 Park Sorrento </w:t>
            </w:r>
            <w:bookmarkStart w:id="11" w:name="xdx_90D_edei--EntityAddressAddressLine2_"/>
            <w:bookmarkEnd w:id="11"/>
            <w:r>
              <w:rPr>
                <w:b/>
              </w:rPr>
              <w:t xml:space="preserve">Suite 205 </w:t>
            </w:r>
            <w:bookmarkStart w:id="12" w:name="xdx_901_edei--EntityAddressCityOrTown_c2"/>
            <w:bookmarkEnd w:id="12"/>
            <w:r>
              <w:rPr>
                <w:b/>
              </w:rPr>
              <w:t xml:space="preserve">Calabasas, </w:t>
            </w:r>
            <w:bookmarkStart w:id="13" w:name="xdx_90B_edei--EntityAddressStateOrProvin"/>
            <w:bookmarkEnd w:id="13"/>
            <w:r>
              <w:rPr>
                <w:b/>
              </w:rPr>
              <w:t>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4" w:name="xdx_90D_edei--EntityAddressPostalZipCode"/>
            <w:bookmarkEnd w:id="14"/>
            <w:r>
              <w:rPr>
                <w:b/>
              </w:rPr>
              <w:t>91302</w:t>
            </w:r>
          </w:p>
        </w:tc>
      </w:tr>
      <w:tr>
        <w:trPr/>
        <w:tc>
          <w:tcPr>
            <w:tcW w:w="4730"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spacing w:before="0" w:after="0"/>
        <w:jc w:val="left"/>
        <w:rPr>
          <w:caps w:val="false"/>
          <w:smallCaps w:val="false"/>
        </w:rPr>
      </w:pPr>
      <w:r>
        <w:rPr>
          <w:caps w:val="false"/>
          <w:smallCaps w:val="false"/>
        </w:rPr>
        <w:t> </w:t>
      </w:r>
    </w:p>
    <w:p>
      <w:pPr>
        <w:pStyle w:val="TextBody"/>
        <w:bidi w:val="0"/>
        <w:jc w:val="center"/>
        <w:rPr>
          <w:b/>
        </w:rPr>
      </w:pPr>
      <w:r>
        <w:rPr>
          <w:b/>
        </w:rPr>
        <w:t>(</w:t>
      </w:r>
      <w:bookmarkStart w:id="15" w:name="xdx_90C_edei--CityAreaCode_c20250101__20"/>
      <w:bookmarkEnd w:id="15"/>
      <w:r>
        <w:rPr>
          <w:b/>
        </w:rPr>
        <w:t xml:space="preserve">310) </w:t>
      </w:r>
      <w:bookmarkStart w:id="16" w:name="xdx_909_edei--LocalPhoneNumber_c20250101"/>
      <w:bookmarkEnd w:id="16"/>
      <w:r>
        <w:rPr>
          <w:b/>
        </w:rPr>
        <w:t>663-7831</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3"/>
        <w:gridCol w:w="60"/>
        <w:gridCol w:w="1851"/>
        <w:gridCol w:w="60"/>
        <w:gridCol w:w="4241"/>
      </w:tblGrid>
      <w:tr>
        <w:trPr/>
        <w:tc>
          <w:tcPr>
            <w:tcW w:w="3993"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51"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41" w:type="dxa"/>
            <w:tcBorders>
              <w:bottom w:val="single" w:sz="8" w:space="0" w:color="000000"/>
            </w:tcBorders>
            <w:shd w:fill="FFFFFF" w:val="clear"/>
            <w:vAlign w:val="center"/>
          </w:tcPr>
          <w:p>
            <w:pPr>
              <w:pStyle w:val="TableContents"/>
              <w:bidi w:val="0"/>
              <w:spacing w:before="0" w:after="283"/>
              <w:jc w:val="center"/>
              <w:rPr>
                <w:b/>
              </w:rPr>
            </w:pPr>
            <w:r>
              <w:rPr>
                <w:b/>
              </w:rPr>
              <w:t>Name of each exchange on which registered</w:t>
            </w:r>
          </w:p>
        </w:tc>
      </w:tr>
      <w:tr>
        <w:trPr/>
        <w:tc>
          <w:tcPr>
            <w:tcW w:w="3993" w:type="dxa"/>
            <w:tcBorders/>
            <w:shd w:fill="CCEEFF" w:val="clear"/>
            <w:tcMar>
              <w:bottom w:w="0" w:type="dxa"/>
            </w:tcMar>
            <w:vAlign w:val="center"/>
          </w:tcPr>
          <w:p>
            <w:pPr>
              <w:pStyle w:val="TableContents"/>
              <w:bidi w:val="0"/>
              <w:spacing w:before="0" w:after="283"/>
              <w:jc w:val="center"/>
              <w:rPr/>
            </w:pPr>
            <w:bookmarkStart w:id="17" w:name="xdx_902_edei--Security12bTitle_c20250101"/>
            <w:bookmarkEnd w:id="17"/>
            <w:r>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51" w:type="dxa"/>
            <w:tcBorders/>
            <w:shd w:fill="CCEEFF" w:val="clear"/>
            <w:tcMar>
              <w:bottom w:w="0" w:type="dxa"/>
            </w:tcMar>
            <w:vAlign w:val="center"/>
          </w:tcPr>
          <w:p>
            <w:pPr>
              <w:pStyle w:val="TableContents"/>
              <w:bidi w:val="0"/>
              <w:spacing w:before="0" w:after="283"/>
              <w:jc w:val="center"/>
              <w:rPr/>
            </w:pPr>
            <w:bookmarkStart w:id="18" w:name="xdx_901_edei--TradingSymbol_c20250101__2"/>
            <w:bookmarkEnd w:id="18"/>
            <w:r>
              <w:rPr/>
              <w:t>NTHI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41" w:type="dxa"/>
            <w:tcBorders/>
            <w:shd w:fill="CCEEFF" w:val="clear"/>
            <w:tcMar>
              <w:bottom w:w="0" w:type="dxa"/>
            </w:tcMar>
            <w:vAlign w:val="center"/>
          </w:tcPr>
          <w:p>
            <w:pPr>
              <w:pStyle w:val="TableContents"/>
              <w:bidi w:val="0"/>
              <w:spacing w:before="0" w:after="283"/>
              <w:jc w:val="center"/>
              <w:rPr/>
            </w:pPr>
            <w:bookmarkStart w:id="19" w:name="xdx_90E_edei--SecurityExchangeName_c2025"/>
            <w:bookmarkEnd w:id="19"/>
            <w:r>
              <w:rPr/>
              <w:t>Nasdaq Global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1_edei--EntityCurrentReportingStat"/>
      <w:bookmarkEnd w:id="20"/>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bookmarkStart w:id="21" w:name="xdx_902_edei--EntityInteractiveDataCurre"/>
      <w:bookmarkEnd w:id="21"/>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bookmarkStart w:id="22" w:name="xdx_909_edei--EntityFilerCategory_c20250"/>
            <w:bookmarkEnd w:id="22"/>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bookmarkStart w:id="23" w:name="xdx_90F_edei--EntitySmallBusiness_c20250"/>
            <w:bookmarkEnd w:id="23"/>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bookmarkStart w:id="24" w:name="xdx_906_edei--EntityEmergingGrowthCompan"/>
            <w:bookmarkEnd w:id="24"/>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C_edei--EntityExTransitionPeriod_c"/>
      <w:bookmarkEnd w:id="25"/>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w:t>
      </w:r>
      <w:bookmarkStart w:id="26" w:name="xdx_90F_edei--EntityShellCompany_c202501"/>
      <w:bookmarkEnd w:id="26"/>
      <w:r>
        <w:rPr>
          <w:rFonts w:ascii="Times New Roman;Times;Serif" w:hAnsi="Times New Roman;Times;Serif"/>
          <w:b w:val="false"/>
          <w:i w:val="false"/>
          <w:caps w:val="false"/>
          <w:smallCaps w:val="false"/>
          <w:sz w:val="20"/>
        </w:rPr>
        <w:t>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27" w:name="xdx_902_edei--EntityCommonStockSharesOut"/>
      <w:bookmarkEnd w:id="27"/>
      <w:r>
        <w:rPr>
          <w:rFonts w:ascii="Times New Roman;Times;Serif" w:hAnsi="Times New Roman;Times;Serif"/>
          <w:b w:val="false"/>
          <w:i w:val="false"/>
          <w:caps w:val="false"/>
          <w:smallCaps w:val="false"/>
          <w:sz w:val="20"/>
        </w:rPr>
        <w:t>19,474,303 shares of common stock outstanding as of November 14, 2025.</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 this report, the term “Company”, “we”, “us”, and “our refers to </w:t>
      </w:r>
      <w:r>
        <w:rPr>
          <w:rFonts w:ascii="Times New Roman;Times;Serif" w:hAnsi="Times New Roman;Times;Serif"/>
          <w:b/>
          <w:i/>
          <w:caps w:val="false"/>
          <w:smallCaps w:val="false"/>
          <w:sz w:val="20"/>
        </w:rPr>
        <w:t>NEONC TECHNOLOGIES HOLDINGS, INC.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 its wholly-owned subsidiary.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jc w:val="left"/>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17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estimates of our expenses, future revenues, capital requirements and our needs for additional financing;</w:t>
            </w:r>
          </w:p>
        </w:tc>
      </w:tr>
    </w:tbl>
    <w:p>
      <w:pPr>
        <w:pStyle w:val="TextBody"/>
        <w:bidi w:val="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our estimates of the size of our market opportunities;</w:t>
            </w:r>
          </w:p>
        </w:tc>
      </w:tr>
    </w:tbl>
    <w:p>
      <w:pPr>
        <w:pStyle w:val="TextBody"/>
        <w:bidi w:val="0"/>
        <w:jc w:val="left"/>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pPr>
            <w:r>
              <w:rPr/>
              <w:t>our ability to effectively manage our growth;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successfully enter new markets, manage our growth expansion and comply with any applicable laws and regulations;</w:t>
            </w:r>
          </w:p>
        </w:tc>
      </w:tr>
    </w:tbl>
    <w:p>
      <w:pPr>
        <w:pStyle w:val="TextBody"/>
        <w:bidi w:val="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the effects of increased competition from our market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significant disruption in, or breach in security of, our information technology systems and resultant interruptions in service and any related impact on our reputation;</w:t>
            </w:r>
          </w:p>
        </w:tc>
      </w:tr>
    </w:tbl>
    <w:p>
      <w:pPr>
        <w:pStyle w:val="TextBody"/>
        <w:bidi w:val="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pPr>
            <w:r>
              <w:rPr/>
              <w:t>the attraction and retention of qualified employees and key personnel;</w:t>
            </w:r>
          </w:p>
        </w:tc>
      </w:tr>
    </w:tbl>
    <w:p>
      <w:pPr>
        <w:pStyle w:val="TextBody"/>
        <w:bidi w:val="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pPr>
            <w:r>
              <w:rPr/>
              <w:t>the effectiveness of our internal controls;</w:t>
            </w:r>
          </w:p>
        </w:tc>
      </w:tr>
    </w:tbl>
    <w:p>
      <w:pPr>
        <w:pStyle w:val="TextBody"/>
        <w:bidi w:val="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changes in laws and government regulation affecting our business;</w:t>
            </w:r>
          </w:p>
        </w:tc>
      </w:tr>
    </w:tbl>
    <w:p>
      <w:pPr>
        <w:pStyle w:val="TextBody"/>
        <w:bidi w:val="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pPr>
            <w:r>
              <w:rPr/>
              <w:t>the impact of adverse economic conditions;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sufficiency of our cash and cash equivalents to meet our liquidity needs and service our indebtedness; and</w:t>
            </w:r>
          </w:p>
        </w:tc>
      </w:tr>
    </w:tbl>
    <w:p>
      <w:pPr>
        <w:pStyle w:val="TextBody"/>
        <w:bidi w:val="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pPr>
            <w:r>
              <w:rPr/>
              <w:t>outcomes of legal or administrative proceedings.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880"/>
        <w:gridCol w:w="60"/>
        <w:gridCol w:w="440"/>
      </w:tblGrid>
      <w:tr>
        <w:trPr/>
        <w:tc>
          <w:tcPr>
            <w:tcW w:w="7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88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8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8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 of Operations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8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 of Stockholders’ Deficit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88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 of Cash Flows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8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88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88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8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caps w:val="false"/>
                <w:smallCaps w:val="false"/>
              </w:rPr>
            </w:pPr>
            <w:r>
              <w:rPr>
                <w:caps w:val="false"/>
                <w:smallCaps w:val="false"/>
              </w:rPr>
              <w:t> </w:t>
            </w:r>
          </w:p>
        </w:tc>
      </w:tr>
      <w:tr>
        <w:trPr/>
        <w:tc>
          <w:tcPr>
            <w:tcW w:w="788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Part II - 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88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88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88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2. Unregistered Sales of Equity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88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88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88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88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6. Exhibit Index</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PART I - FINANCIAL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 w:name="a_002"/>
      <w:bookmarkEnd w:id="29"/>
      <w:r>
        <w:rPr>
          <w:rFonts w:ascii="Times New Roman;Times;Serif" w:hAnsi="Times New Roman;Times;Serif"/>
          <w:b/>
          <w:i w:val="false"/>
          <w:caps w:val="false"/>
          <w:smallCaps w:val="false"/>
          <w:sz w:val="20"/>
        </w:rPr>
        <w:t>Item 1. Financial Statements</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 w:name="a_003"/>
      <w:bookmarkEnd w:id="30"/>
      <w:r>
        <w:rPr>
          <w:rFonts w:ascii="Times New Roman;Times;Serif" w:hAnsi="Times New Roman;Times;Serif"/>
          <w:b/>
          <w:i w:val="false"/>
          <w:caps w:val="false"/>
          <w:smallCaps w:val="false"/>
          <w:sz w:val="20"/>
        </w:rPr>
        <w:t>NEONC TECHNOLOGIES HOLDINGS, INC.</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5_111_znWOAky0xWDc"/>
      <w:bookmarkStart w:id="32" w:name="xdx_305_111_znWOAky0xWDc"/>
      <w:bookmarkEnd w:id="32"/>
    </w:p>
    <w:tbl>
      <w:tblPr>
        <w:tblW w:w="10205" w:type="dxa"/>
        <w:jc w:val="left"/>
        <w:tblInd w:w="0" w:type="dxa"/>
        <w:tblLayout w:type="fixed"/>
        <w:tblCellMar>
          <w:top w:w="0" w:type="dxa"/>
          <w:left w:w="0" w:type="dxa"/>
          <w:bottom w:w="0" w:type="dxa"/>
          <w:right w:w="0" w:type="dxa"/>
        </w:tblCellMar>
      </w:tblPr>
      <w:tblGrid>
        <w:gridCol w:w="7013"/>
        <w:gridCol w:w="60"/>
        <w:gridCol w:w="157"/>
        <w:gridCol w:w="1318"/>
        <w:gridCol w:w="95"/>
        <w:gridCol w:w="60"/>
        <w:gridCol w:w="150"/>
        <w:gridCol w:w="1265"/>
        <w:gridCol w:w="87"/>
      </w:tblGrid>
      <w:tr>
        <w:trPr/>
        <w:tc>
          <w:tcPr>
            <w:tcW w:w="7013"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33" w:name="xdx_49D_20250930_zzfIlklSeRu6"/>
            <w:bookmarkEnd w:id="33"/>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34" w:name="xdx_49F_20241231_zqLki0hokUB6"/>
            <w:bookmarkEnd w:id="34"/>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87" w:type="dxa"/>
            <w:tcBorders/>
            <w:vAlign w:val="center"/>
          </w:tcPr>
          <w:p>
            <w:pPr>
              <w:pStyle w:val="TableContents"/>
              <w:bidi w:val="0"/>
              <w:spacing w:before="0" w:after="283"/>
              <w:jc w:val="center"/>
              <w:rPr/>
            </w:pPr>
            <w:r>
              <w:rPr/>
              <w:t> </w:t>
            </w:r>
          </w:p>
        </w:tc>
      </w:tr>
      <w:tr>
        <w:trPr/>
        <w:tc>
          <w:tcPr>
            <w:tcW w:w="7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ind w:left="0" w:right="0" w:hanging="180"/>
              <w:jc w:val="center"/>
              <w:rPr/>
            </w:pPr>
            <w:r>
              <w:rPr/>
              <w:t> </w:t>
            </w:r>
            <w:bookmarkStart w:id="35" w:name="xdx_405_eus-gaap--AssetsAbstract_iB_zzJP"/>
            <w:bookmarkEnd w:id="35"/>
          </w:p>
        </w:tc>
      </w:tr>
      <w:tr>
        <w:trPr/>
        <w:tc>
          <w:tcPr>
            <w:tcW w:w="7013"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36" w:name="xdx_40D_eus-gaap--AssetsCurrentAbstract_"/>
            <w:bookmarkEnd w:id="36"/>
          </w:p>
        </w:tc>
      </w:tr>
      <w:tr>
        <w:trPr/>
        <w:tc>
          <w:tcPr>
            <w:tcW w:w="7013"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37" w:name="xdx_40C_eus-gaap--CashAndCashEquivalents"/>
            <w:bookmarkEnd w:id="37"/>
          </w:p>
        </w:tc>
      </w:tr>
      <w:tr>
        <w:trPr/>
        <w:tc>
          <w:tcPr>
            <w:tcW w:w="701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1,513,224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64,893</w:t>
            </w:r>
          </w:p>
        </w:tc>
        <w:tc>
          <w:tcPr>
            <w:tcW w:w="87" w:type="dxa"/>
            <w:tcBorders/>
            <w:shd w:fill="CCEEFF" w:val="clear"/>
            <w:vAlign w:val="center"/>
          </w:tcPr>
          <w:p>
            <w:pPr>
              <w:pStyle w:val="TableContents"/>
              <w:bidi w:val="0"/>
              <w:spacing w:before="0" w:after="283"/>
              <w:ind w:left="0" w:right="0" w:hanging="180"/>
              <w:jc w:val="left"/>
              <w:rPr/>
            </w:pPr>
            <w:r>
              <w:rPr/>
              <w:t> </w:t>
            </w:r>
            <w:bookmarkStart w:id="38" w:name="xdx_405_eus-gaap--DeferredCostsCurrent_i"/>
            <w:bookmarkEnd w:id="38"/>
          </w:p>
        </w:tc>
      </w:tr>
      <w:tr>
        <w:trPr/>
        <w:tc>
          <w:tcPr>
            <w:tcW w:w="7013" w:type="dxa"/>
            <w:tcBorders/>
            <w:shd w:fill="FFFFFF" w:val="clear"/>
            <w:vAlign w:val="center"/>
          </w:tcPr>
          <w:p>
            <w:pPr>
              <w:pStyle w:val="TableContents"/>
              <w:bidi w:val="0"/>
              <w:spacing w:before="0" w:after="283"/>
              <w:jc w:val="left"/>
              <w:rPr/>
            </w:pPr>
            <w:r>
              <w:rPr/>
              <w:t>Deferred offering costs  current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99,302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1,071,947</w:t>
            </w:r>
          </w:p>
        </w:tc>
        <w:tc>
          <w:tcPr>
            <w:tcW w:w="87" w:type="dxa"/>
            <w:tcBorders/>
            <w:shd w:fill="FFFFFF" w:val="clear"/>
            <w:vAlign w:val="center"/>
          </w:tcPr>
          <w:p>
            <w:pPr>
              <w:pStyle w:val="TableContents"/>
              <w:bidi w:val="0"/>
              <w:spacing w:before="0" w:after="283"/>
              <w:ind w:left="0" w:right="0" w:hanging="180"/>
              <w:jc w:val="left"/>
              <w:rPr/>
            </w:pPr>
            <w:r>
              <w:rPr/>
              <w:t> </w:t>
            </w:r>
            <w:bookmarkStart w:id="39" w:name="xdx_405_ecustom--DebtIssuanceCostsCurren"/>
            <w:bookmarkEnd w:id="39"/>
          </w:p>
        </w:tc>
      </w:tr>
      <w:tr>
        <w:trPr/>
        <w:tc>
          <w:tcPr>
            <w:tcW w:w="7013" w:type="dxa"/>
            <w:tcBorders/>
            <w:shd w:fill="CCEEFF" w:val="clear"/>
            <w:vAlign w:val="center"/>
          </w:tcPr>
          <w:p>
            <w:pPr>
              <w:pStyle w:val="TableContents"/>
              <w:bidi w:val="0"/>
              <w:spacing w:before="0" w:after="283"/>
              <w:jc w:val="left"/>
              <w:rPr/>
            </w:pPr>
            <w:r>
              <w:rPr/>
              <w:t>Debt issuance costs  current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671,804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671,804</w:t>
            </w:r>
          </w:p>
        </w:tc>
        <w:tc>
          <w:tcPr>
            <w:tcW w:w="87" w:type="dxa"/>
            <w:tcBorders/>
            <w:shd w:fill="CCEEFF" w:val="clear"/>
            <w:vAlign w:val="center"/>
          </w:tcPr>
          <w:p>
            <w:pPr>
              <w:pStyle w:val="TableContents"/>
              <w:bidi w:val="0"/>
              <w:spacing w:before="0" w:after="283"/>
              <w:ind w:left="0" w:right="0" w:hanging="180"/>
              <w:jc w:val="left"/>
              <w:rPr/>
            </w:pPr>
            <w:r>
              <w:rPr/>
              <w:t> </w:t>
            </w:r>
            <w:bookmarkStart w:id="40" w:name="xdx_408_eus-gaap--PrepaidExpenseAndOther"/>
            <w:bookmarkEnd w:id="40"/>
          </w:p>
        </w:tc>
      </w:tr>
      <w:tr>
        <w:trPr/>
        <w:tc>
          <w:tcPr>
            <w:tcW w:w="7013" w:type="dxa"/>
            <w:tcBorders/>
            <w:shd w:fill="FFFFFF" w:val="clear"/>
            <w:vAlign w:val="center"/>
          </w:tcPr>
          <w:p>
            <w:pPr>
              <w:pStyle w:val="TableContents"/>
              <w:bidi w:val="0"/>
              <w:spacing w:before="0" w:after="283"/>
              <w:jc w:val="left"/>
              <w:rPr/>
            </w:pPr>
            <w:r>
              <w:rPr/>
              <w:t>Prepaid expenses and other</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677,246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410,085</w:t>
            </w:r>
          </w:p>
        </w:tc>
        <w:tc>
          <w:tcPr>
            <w:tcW w:w="87" w:type="dxa"/>
            <w:tcBorders/>
            <w:shd w:fill="FFFFFF" w:val="clear"/>
            <w:vAlign w:val="center"/>
          </w:tcPr>
          <w:p>
            <w:pPr>
              <w:pStyle w:val="TableContents"/>
              <w:bidi w:val="0"/>
              <w:spacing w:before="0" w:after="283"/>
              <w:ind w:left="0" w:right="0" w:hanging="180"/>
              <w:jc w:val="left"/>
              <w:rPr/>
            </w:pPr>
            <w:r>
              <w:rPr/>
              <w:t> </w:t>
            </w:r>
            <w:bookmarkStart w:id="41" w:name="xdx_409_eus-gaap--AssetsCurrent_i01TI_mt"/>
            <w:bookmarkEnd w:id="41"/>
          </w:p>
        </w:tc>
      </w:tr>
      <w:tr>
        <w:trPr/>
        <w:tc>
          <w:tcPr>
            <w:tcW w:w="701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2,961,576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2,218,729</w:t>
            </w:r>
          </w:p>
        </w:tc>
        <w:tc>
          <w:tcPr>
            <w:tcW w:w="87" w:type="dxa"/>
            <w:tcBorders/>
            <w:shd w:fill="CCEEFF" w:val="clear"/>
            <w:vAlign w:val="center"/>
          </w:tcPr>
          <w:p>
            <w:pPr>
              <w:pStyle w:val="TableContents"/>
              <w:bidi w:val="0"/>
              <w:spacing w:before="0" w:after="283"/>
              <w:ind w:left="0" w:right="0" w:hanging="180"/>
              <w:jc w:val="left"/>
              <w:rPr/>
            </w:pPr>
            <w:r>
              <w:rPr/>
              <w:t> </w:t>
            </w:r>
            <w:bookmarkStart w:id="42" w:name="xdx_401_eus-gaap--AssetsNoncurrentAbstra"/>
            <w:bookmarkEnd w:id="42"/>
          </w:p>
        </w:tc>
      </w:tr>
      <w:tr>
        <w:trPr/>
        <w:tc>
          <w:tcPr>
            <w:tcW w:w="7013"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43" w:name="xdx_40C_ecustom--DebtIssuanceCostsNetOfN"/>
            <w:bookmarkEnd w:id="43"/>
          </w:p>
        </w:tc>
      </w:tr>
      <w:tr>
        <w:trPr/>
        <w:tc>
          <w:tcPr>
            <w:tcW w:w="7013" w:type="dxa"/>
            <w:tcBorders/>
            <w:shd w:fill="CCEEFF" w:val="clear"/>
            <w:vAlign w:val="center"/>
          </w:tcPr>
          <w:p>
            <w:pPr>
              <w:pStyle w:val="TableContents"/>
              <w:bidi w:val="0"/>
              <w:spacing w:before="0" w:after="283"/>
              <w:jc w:val="left"/>
              <w:rPr/>
            </w:pPr>
            <w:r>
              <w:rPr/>
              <w:t>Debt issuance costs  net of current portion</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694,654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1,198,512</w:t>
            </w:r>
          </w:p>
        </w:tc>
        <w:tc>
          <w:tcPr>
            <w:tcW w:w="87" w:type="dxa"/>
            <w:tcBorders/>
            <w:shd w:fill="CCEEFF" w:val="clear"/>
            <w:vAlign w:val="center"/>
          </w:tcPr>
          <w:p>
            <w:pPr>
              <w:pStyle w:val="TableContents"/>
              <w:bidi w:val="0"/>
              <w:spacing w:before="0" w:after="283"/>
              <w:ind w:left="0" w:right="0" w:hanging="180"/>
              <w:jc w:val="left"/>
              <w:rPr/>
            </w:pPr>
            <w:r>
              <w:rPr/>
              <w:t> </w:t>
            </w:r>
            <w:bookmarkStart w:id="44" w:name="xdx_40F_eus-gaap--OperatingLeaseRightOfU"/>
            <w:bookmarkEnd w:id="44"/>
          </w:p>
        </w:tc>
      </w:tr>
      <w:tr>
        <w:trPr/>
        <w:tc>
          <w:tcPr>
            <w:tcW w:w="7013"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Right of use asset  operating lease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379,509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b/>
              </w:rPr>
            </w:pPr>
            <w:r>
              <w:rPr>
                <w:b/>
              </w:rPr>
              <w:t>-</w:t>
            </w:r>
          </w:p>
        </w:tc>
        <w:tc>
          <w:tcPr>
            <w:tcW w:w="87" w:type="dxa"/>
            <w:tcBorders/>
            <w:shd w:fill="FFFFFF" w:val="clear"/>
            <w:vAlign w:val="center"/>
          </w:tcPr>
          <w:p>
            <w:pPr>
              <w:pStyle w:val="TableContents"/>
              <w:bidi w:val="0"/>
              <w:spacing w:before="0" w:after="283"/>
              <w:ind w:left="0" w:right="0" w:hanging="180"/>
              <w:jc w:val="left"/>
              <w:rPr/>
            </w:pPr>
            <w:r>
              <w:rPr/>
              <w:t> </w:t>
            </w:r>
            <w:bookmarkStart w:id="45" w:name="xdx_402_eus-gaap--OtherAssets_i02I_pp0p0"/>
            <w:bookmarkEnd w:id="45"/>
          </w:p>
        </w:tc>
      </w:tr>
      <w:tr>
        <w:trPr/>
        <w:tc>
          <w:tcPr>
            <w:tcW w:w="7013"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Other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87" w:type="dxa"/>
            <w:tcBorders/>
            <w:shd w:fill="CCEEFF" w:val="clear"/>
            <w:vAlign w:val="center"/>
          </w:tcPr>
          <w:p>
            <w:pPr>
              <w:pStyle w:val="TableContents"/>
              <w:bidi w:val="0"/>
              <w:spacing w:before="0" w:after="283"/>
              <w:ind w:left="0" w:right="0" w:hanging="180"/>
              <w:jc w:val="left"/>
              <w:rPr/>
            </w:pPr>
            <w:r>
              <w:rPr/>
              <w:t> </w:t>
            </w:r>
            <w:bookmarkStart w:id="46" w:name="xdx_40F_eus-gaap--Assets_iTI_mtCz0B1_zAC"/>
            <w:bookmarkEnd w:id="46"/>
          </w:p>
        </w:tc>
      </w:tr>
      <w:tr>
        <w:trPr/>
        <w:tc>
          <w:tcPr>
            <w:tcW w:w="701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4,082,916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3,417,241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47" w:name="xdx_408_eus-gaap--LiabilitiesAndStockhol"/>
            <w:bookmarkEnd w:id="47"/>
          </w:p>
        </w:tc>
      </w:tr>
      <w:tr>
        <w:trPr/>
        <w:tc>
          <w:tcPr>
            <w:tcW w:w="7013" w:type="dxa"/>
            <w:tcBorders/>
            <w:shd w:fill="FFFFFF" w:val="clear"/>
            <w:vAlign w:val="center"/>
          </w:tcPr>
          <w:p>
            <w:pPr>
              <w:pStyle w:val="TableContents"/>
              <w:bidi w:val="0"/>
              <w:spacing w:before="0" w:after="283"/>
              <w:jc w:val="left"/>
              <w:rPr>
                <w:b/>
              </w:rPr>
            </w:pPr>
            <w:r>
              <w:rPr>
                <w:b/>
              </w:rPr>
              <w:t>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48" w:name="xdx_408_eus-gaap--LiabilitiesCurrentAbst"/>
            <w:bookmarkEnd w:id="48"/>
          </w:p>
        </w:tc>
      </w:tr>
      <w:tr>
        <w:trPr/>
        <w:tc>
          <w:tcPr>
            <w:tcW w:w="7013"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49" w:name="xdx_40D_eus-gaap--AccountsPayableAndAccr"/>
            <w:bookmarkEnd w:id="49"/>
          </w:p>
        </w:tc>
      </w:tr>
      <w:tr>
        <w:trPr/>
        <w:tc>
          <w:tcPr>
            <w:tcW w:w="7013"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318" w:type="dxa"/>
            <w:tcBorders/>
            <w:shd w:fill="FFFFFF" w:val="clear"/>
            <w:vAlign w:val="center"/>
          </w:tcPr>
          <w:p>
            <w:pPr>
              <w:pStyle w:val="TableContents"/>
              <w:bidi w:val="0"/>
              <w:spacing w:before="0" w:after="283"/>
              <w:jc w:val="right"/>
              <w:rPr/>
            </w:pPr>
            <w:r>
              <w:rPr/>
              <w:t>1,640,833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2,917,801</w:t>
            </w:r>
          </w:p>
        </w:tc>
        <w:tc>
          <w:tcPr>
            <w:tcW w:w="87" w:type="dxa"/>
            <w:tcBorders/>
            <w:shd w:fill="FFFFFF" w:val="clear"/>
            <w:vAlign w:val="center"/>
          </w:tcPr>
          <w:p>
            <w:pPr>
              <w:pStyle w:val="TableContents"/>
              <w:bidi w:val="0"/>
              <w:spacing w:before="0" w:after="283"/>
              <w:ind w:left="0" w:right="0" w:hanging="180"/>
              <w:jc w:val="left"/>
              <w:rPr/>
            </w:pPr>
            <w:r>
              <w:rPr/>
              <w:t> </w:t>
            </w:r>
            <w:bookmarkStart w:id="50" w:name="xdx_407_ecustom--AccountsPayableRelatedP"/>
            <w:bookmarkEnd w:id="50"/>
          </w:p>
        </w:tc>
      </w:tr>
      <w:tr>
        <w:trPr/>
        <w:tc>
          <w:tcPr>
            <w:tcW w:w="7013"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499,900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628,277</w:t>
            </w:r>
          </w:p>
        </w:tc>
        <w:tc>
          <w:tcPr>
            <w:tcW w:w="87" w:type="dxa"/>
            <w:tcBorders/>
            <w:shd w:fill="CCEEFF" w:val="clear"/>
            <w:vAlign w:val="center"/>
          </w:tcPr>
          <w:p>
            <w:pPr>
              <w:pStyle w:val="TableContents"/>
              <w:bidi w:val="0"/>
              <w:spacing w:before="0" w:after="283"/>
              <w:ind w:left="0" w:right="0" w:hanging="180"/>
              <w:jc w:val="left"/>
              <w:rPr/>
            </w:pPr>
            <w:r>
              <w:rPr/>
              <w:t> </w:t>
            </w:r>
            <w:bookmarkStart w:id="51" w:name="xdx_40F_ecustom--AccruedAdvisoryFeeRelat"/>
            <w:bookmarkEnd w:id="51"/>
          </w:p>
        </w:tc>
      </w:tr>
      <w:tr>
        <w:trPr/>
        <w:tc>
          <w:tcPr>
            <w:tcW w:w="7013" w:type="dxa"/>
            <w:tcBorders/>
            <w:shd w:fill="FFFFFF" w:val="clear"/>
            <w:vAlign w:val="center"/>
          </w:tcPr>
          <w:p>
            <w:pPr>
              <w:pStyle w:val="TableContents"/>
              <w:bidi w:val="0"/>
              <w:spacing w:before="0" w:after="283"/>
              <w:jc w:val="left"/>
              <w:rPr/>
            </w:pPr>
            <w:r>
              <w:rPr/>
              <w:t>Accrued advisory fee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3,675,569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bookmarkStart w:id="52" w:name="xdx_402_ecustom--LitigationSettlementPay"/>
            <w:bookmarkEnd w:id="52"/>
          </w:p>
        </w:tc>
      </w:tr>
      <w:tr>
        <w:trPr/>
        <w:tc>
          <w:tcPr>
            <w:tcW w:w="7013" w:type="dxa"/>
            <w:tcBorders/>
            <w:shd w:fill="CCEEFF" w:val="clear"/>
            <w:vAlign w:val="center"/>
          </w:tcPr>
          <w:p>
            <w:pPr>
              <w:pStyle w:val="TableContents"/>
              <w:bidi w:val="0"/>
              <w:spacing w:before="0" w:after="283"/>
              <w:jc w:val="left"/>
              <w:rPr/>
            </w:pPr>
            <w:r>
              <w:rPr/>
              <w:t>Litigation settlement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4,746,250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4,641,250</w:t>
            </w:r>
          </w:p>
        </w:tc>
        <w:tc>
          <w:tcPr>
            <w:tcW w:w="87" w:type="dxa"/>
            <w:tcBorders/>
            <w:shd w:fill="CCEEFF" w:val="clear"/>
            <w:vAlign w:val="center"/>
          </w:tcPr>
          <w:p>
            <w:pPr>
              <w:pStyle w:val="TableContents"/>
              <w:bidi w:val="0"/>
              <w:spacing w:before="0" w:after="283"/>
              <w:ind w:left="0" w:right="0" w:hanging="180"/>
              <w:jc w:val="left"/>
              <w:rPr/>
            </w:pPr>
            <w:r>
              <w:rPr/>
              <w:t> </w:t>
            </w:r>
            <w:bookmarkStart w:id="53" w:name="xdx_408_eus-gaap--ConvertibleDebtCurrent"/>
            <w:bookmarkEnd w:id="53"/>
          </w:p>
        </w:tc>
      </w:tr>
      <w:tr>
        <w:trPr/>
        <w:tc>
          <w:tcPr>
            <w:tcW w:w="7013" w:type="dxa"/>
            <w:tcBorders/>
            <w:shd w:fill="FFFFFF" w:val="clear"/>
            <w:vAlign w:val="center"/>
          </w:tcPr>
          <w:p>
            <w:pPr>
              <w:pStyle w:val="TableContents"/>
              <w:bidi w:val="0"/>
              <w:spacing w:before="0" w:after="283"/>
              <w:jc w:val="left"/>
              <w:rPr/>
            </w:pPr>
            <w:r>
              <w:rPr/>
              <w:t>Convertible promissory notes,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4,700,794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bookmarkStart w:id="54" w:name="xdx_408_eus-gaap--EmployeeRelatedLiabili"/>
            <w:bookmarkEnd w:id="54"/>
          </w:p>
        </w:tc>
      </w:tr>
      <w:tr>
        <w:trPr/>
        <w:tc>
          <w:tcPr>
            <w:tcW w:w="7013"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255,099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734,874</w:t>
            </w:r>
          </w:p>
        </w:tc>
        <w:tc>
          <w:tcPr>
            <w:tcW w:w="87" w:type="dxa"/>
            <w:tcBorders/>
            <w:shd w:fill="CCEEFF" w:val="clear"/>
            <w:vAlign w:val="center"/>
          </w:tcPr>
          <w:p>
            <w:pPr>
              <w:pStyle w:val="TableContents"/>
              <w:bidi w:val="0"/>
              <w:spacing w:before="0" w:after="283"/>
              <w:ind w:left="0" w:right="0" w:hanging="180"/>
              <w:jc w:val="left"/>
              <w:rPr/>
            </w:pPr>
            <w:r>
              <w:rPr/>
              <w:t> </w:t>
            </w:r>
            <w:bookmarkStart w:id="55" w:name="xdx_404_eus-gaap--OperatingLeaseLiabilit"/>
            <w:bookmarkEnd w:id="55"/>
          </w:p>
        </w:tc>
      </w:tr>
      <w:tr>
        <w:trPr/>
        <w:tc>
          <w:tcPr>
            <w:tcW w:w="7013" w:type="dxa"/>
            <w:tcBorders/>
            <w:shd w:fill="FFFFFF" w:val="clear"/>
            <w:vAlign w:val="center"/>
          </w:tcPr>
          <w:p>
            <w:pPr>
              <w:pStyle w:val="TableContents"/>
              <w:bidi w:val="0"/>
              <w:spacing w:before="0" w:after="283"/>
              <w:jc w:val="left"/>
              <w:rPr/>
            </w:pPr>
            <w:r>
              <w:rPr/>
              <w:t>Lease liability, current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69,877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bookmarkStart w:id="56" w:name="xdx_40F_eus-gaap--LiabilitiesCurrent_i01"/>
            <w:bookmarkEnd w:id="56"/>
          </w:p>
        </w:tc>
      </w:tr>
      <w:tr>
        <w:trPr/>
        <w:tc>
          <w:tcPr>
            <w:tcW w:w="701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15,588,322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8,922,202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57" w:name="xdx_404_ecustom--LongTermLiabilitiesAbst"/>
            <w:bookmarkEnd w:id="57"/>
          </w:p>
        </w:tc>
      </w:tr>
      <w:tr>
        <w:trPr/>
        <w:tc>
          <w:tcPr>
            <w:tcW w:w="7013" w:type="dxa"/>
            <w:tcBorders/>
            <w:shd w:fill="CCEEFF" w:val="clear"/>
            <w:vAlign w:val="center"/>
          </w:tcPr>
          <w:p>
            <w:pPr>
              <w:pStyle w:val="TableContents"/>
              <w:bidi w:val="0"/>
              <w:spacing w:before="0" w:after="283"/>
              <w:jc w:val="left"/>
              <w:rPr/>
            </w:pPr>
            <w:r>
              <w:rPr/>
              <w:t>Long Term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58" w:name="xdx_40A_ecustom--LeaseLiabilityNetOfCurr"/>
            <w:bookmarkEnd w:id="58"/>
          </w:p>
        </w:tc>
      </w:tr>
      <w:tr>
        <w:trPr/>
        <w:tc>
          <w:tcPr>
            <w:tcW w:w="7013" w:type="dxa"/>
            <w:tcBorders/>
            <w:shd w:fill="FFFFFF" w:val="clear"/>
            <w:vAlign w:val="center"/>
          </w:tcPr>
          <w:p>
            <w:pPr>
              <w:pStyle w:val="TableContents"/>
              <w:bidi w:val="0"/>
              <w:spacing w:before="0" w:after="283"/>
              <w:jc w:val="left"/>
              <w:rPr/>
            </w:pPr>
            <w:r>
              <w:rPr/>
              <w:t>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308,864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bookmarkStart w:id="59" w:name="xdx_404_eus-gaap--Liabilities_i01TI_pp0d"/>
            <w:bookmarkEnd w:id="59"/>
          </w:p>
        </w:tc>
      </w:tr>
      <w:tr>
        <w:trPr/>
        <w:tc>
          <w:tcPr>
            <w:tcW w:w="7013" w:type="dxa"/>
            <w:tcBorders/>
            <w:shd w:fill="CCEEFF" w:val="clear"/>
            <w:vAlign w:val="center"/>
          </w:tcPr>
          <w:p>
            <w:pPr>
              <w:pStyle w:val="TableContents"/>
              <w:bidi w:val="0"/>
              <w:spacing w:before="0" w:after="283"/>
              <w:jc w:val="left"/>
              <w:rPr>
                <w:color w:val="CCEEFF"/>
              </w:rPr>
            </w:pPr>
            <w:r>
              <w:rPr>
                <w:color w:val="CCEEFF"/>
              </w:rPr>
              <w:t>Total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15,897,186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8,922,202</w:t>
            </w:r>
          </w:p>
        </w:tc>
        <w:tc>
          <w:tcPr>
            <w:tcW w:w="87" w:type="dxa"/>
            <w:tcBorders/>
            <w:shd w:fill="CCEEFF" w:val="clear"/>
            <w:vAlign w:val="center"/>
          </w:tcPr>
          <w:p>
            <w:pPr>
              <w:pStyle w:val="TableContents"/>
              <w:bidi w:val="0"/>
              <w:spacing w:before="0" w:after="283"/>
              <w:ind w:left="0" w:right="0" w:hanging="180"/>
              <w:jc w:val="left"/>
              <w:rPr/>
            </w:pPr>
            <w:r>
              <w:rPr/>
              <w:t> </w:t>
            </w:r>
            <w:bookmarkStart w:id="60" w:name="xdx_401_eus-gaap--CommitmentsAndContinge"/>
            <w:bookmarkEnd w:id="60"/>
          </w:p>
        </w:tc>
      </w:tr>
      <w:tr>
        <w:trPr/>
        <w:tc>
          <w:tcPr>
            <w:tcW w:w="7013"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61" w:name="xdx_402_eus-gaap--StockholdersEquityAbst"/>
            <w:bookmarkEnd w:id="61"/>
          </w:p>
        </w:tc>
      </w:tr>
      <w:tr>
        <w:trPr/>
        <w:tc>
          <w:tcPr>
            <w:tcW w:w="7013" w:type="dxa"/>
            <w:tcBorders/>
            <w:shd w:fill="FFFFFF" w:val="clear"/>
            <w:vAlign w:val="center"/>
          </w:tcPr>
          <w:p>
            <w:pPr>
              <w:pStyle w:val="TableContents"/>
              <w:bidi w:val="0"/>
              <w:spacing w:before="0" w:after="283"/>
              <w:jc w:val="left"/>
              <w:rPr/>
            </w:pPr>
            <w:r>
              <w:rPr/>
              <w:t>Shareholders’ Deficit: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62" w:name="xdx_401_eus-gaap--PreferredStockValue_i0"/>
            <w:bookmarkEnd w:id="62"/>
          </w:p>
        </w:tc>
      </w:tr>
      <w:tr>
        <w:trPr/>
        <w:tc>
          <w:tcPr>
            <w:tcW w:w="7013" w:type="dxa"/>
            <w:tcBorders/>
            <w:shd w:fill="CCEEFF" w:val="clear"/>
            <w:vAlign w:val="center"/>
          </w:tcPr>
          <w:p>
            <w:pPr>
              <w:pStyle w:val="TableContents"/>
              <w:bidi w:val="0"/>
              <w:spacing w:before="0" w:after="283"/>
              <w:jc w:val="left"/>
              <w:rPr/>
            </w:pPr>
            <w:r>
              <w:rPr/>
              <w:t>Preferred stock, $</w:t>
            </w:r>
            <w:bookmarkStart w:id="63" w:name="xdx_90C_eus-gaap--PreferredStockParOrSta"/>
            <w:bookmarkStart w:id="64" w:name="xdx_90F_eus-gaap--PreferredStockParOrSta"/>
            <w:bookmarkEnd w:id="63"/>
            <w:bookmarkEnd w:id="64"/>
            <w:r>
              <w:rPr/>
              <w:t xml:space="preserve">0.0001 par value, </w:t>
            </w:r>
            <w:bookmarkStart w:id="65" w:name="xdx_906_eus-gaap--PreferredStockSharesAu"/>
            <w:bookmarkStart w:id="66" w:name="xdx_906_eus-gaap--PreferredStockSharesAu"/>
            <w:bookmarkEnd w:id="65"/>
            <w:bookmarkEnd w:id="66"/>
            <w:r>
              <w:rPr/>
              <w:t xml:space="preserve">10,000,000 shares authorized; </w:t>
            </w:r>
            <w:bookmarkStart w:id="67" w:name="xdx_90A_eus-gaap--PreferredStockSharesOu"/>
            <w:bookmarkStart w:id="68" w:name="xdx_90D_eus-gaap--PreferredStockSharesIs"/>
            <w:bookmarkStart w:id="69" w:name="xdx_903_eus-gaap--PreferredStockSharesOu"/>
            <w:bookmarkStart w:id="70" w:name="xdx_90B_eus-gaap--PreferredStockSharesIs"/>
            <w:bookmarkEnd w:id="67"/>
            <w:bookmarkEnd w:id="68"/>
            <w:bookmarkEnd w:id="69"/>
            <w:bookmarkEnd w:id="70"/>
            <w:r>
              <w:rPr/>
              <w:t>no shares were issued and outstanding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bookmarkStart w:id="71" w:name="xdx_400_eus-gaap--CommonStockValue_i01I_"/>
            <w:bookmarkEnd w:id="71"/>
          </w:p>
        </w:tc>
      </w:tr>
      <w:tr>
        <w:trPr/>
        <w:tc>
          <w:tcPr>
            <w:tcW w:w="7013" w:type="dxa"/>
            <w:tcBorders/>
            <w:shd w:fill="FFFFFF" w:val="clear"/>
            <w:vAlign w:val="center"/>
          </w:tcPr>
          <w:p>
            <w:pPr>
              <w:pStyle w:val="TableContents"/>
              <w:bidi w:val="0"/>
              <w:spacing w:before="0" w:after="283"/>
              <w:jc w:val="left"/>
              <w:rPr/>
            </w:pPr>
            <w:r>
              <w:rPr/>
              <w:t>Common stock, $</w:t>
            </w:r>
            <w:bookmarkStart w:id="72" w:name="xdx_903_eus-gaap--CommonStockParOrStated"/>
            <w:bookmarkStart w:id="73" w:name="xdx_906_eus-gaap--CommonStockParOrStated"/>
            <w:bookmarkEnd w:id="72"/>
            <w:bookmarkEnd w:id="73"/>
            <w:r>
              <w:rPr/>
              <w:t xml:space="preserve">0.0001 par value, </w:t>
            </w:r>
            <w:bookmarkStart w:id="74" w:name="xdx_900_eus-gaap--CommonStockSharesAutho"/>
            <w:bookmarkStart w:id="75" w:name="xdx_904_eus-gaap--CommonStockSharesAutho"/>
            <w:bookmarkEnd w:id="74"/>
            <w:bookmarkEnd w:id="75"/>
            <w:r>
              <w:rPr/>
              <w:t xml:space="preserve">100,000,000 shares authorized; </w:t>
            </w:r>
            <w:bookmarkStart w:id="76" w:name="xdx_904_eus-gaap--CommonStockSharesOutst"/>
            <w:bookmarkStart w:id="77" w:name="xdx_90E_eus-gaap--CommonStockSharesIssue"/>
            <w:bookmarkEnd w:id="76"/>
            <w:bookmarkEnd w:id="77"/>
            <w:r>
              <w:rPr/>
              <w:t xml:space="preserve">19,474,303 and </w:t>
            </w:r>
            <w:bookmarkStart w:id="78" w:name="xdx_90E_eus-gaap--CommonStockSharesOutst"/>
            <w:bookmarkStart w:id="79" w:name="xdx_904_eus-gaap--CommonStockSharesIssue"/>
            <w:bookmarkEnd w:id="78"/>
            <w:bookmarkEnd w:id="79"/>
            <w:r>
              <w:rPr/>
              <w:t>18,090,526 shares issued and outstanding as of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1,809</w:t>
            </w:r>
          </w:p>
        </w:tc>
        <w:tc>
          <w:tcPr>
            <w:tcW w:w="87" w:type="dxa"/>
            <w:tcBorders/>
            <w:shd w:fill="FFFFFF" w:val="clear"/>
            <w:vAlign w:val="center"/>
          </w:tcPr>
          <w:p>
            <w:pPr>
              <w:pStyle w:val="TableContents"/>
              <w:bidi w:val="0"/>
              <w:spacing w:before="0" w:after="283"/>
              <w:ind w:left="0" w:right="0" w:hanging="180"/>
              <w:jc w:val="left"/>
              <w:rPr/>
            </w:pPr>
            <w:r>
              <w:rPr/>
              <w:t> </w:t>
            </w:r>
            <w:bookmarkStart w:id="80" w:name="xdx_40C_eus-gaap--AdditionalPaidInCapita"/>
            <w:bookmarkEnd w:id="80"/>
          </w:p>
        </w:tc>
      </w:tr>
      <w:tr>
        <w:trPr/>
        <w:tc>
          <w:tcPr>
            <w:tcW w:w="7013"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85,414,333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45,101,675</w:t>
            </w:r>
          </w:p>
        </w:tc>
        <w:tc>
          <w:tcPr>
            <w:tcW w:w="87" w:type="dxa"/>
            <w:tcBorders/>
            <w:shd w:fill="CCEEFF" w:val="clear"/>
            <w:vAlign w:val="center"/>
          </w:tcPr>
          <w:p>
            <w:pPr>
              <w:pStyle w:val="TableContents"/>
              <w:bidi w:val="0"/>
              <w:spacing w:before="0" w:after="283"/>
              <w:ind w:left="0" w:right="0" w:hanging="180"/>
              <w:jc w:val="left"/>
              <w:rPr/>
            </w:pPr>
            <w:r>
              <w:rPr/>
              <w:t> </w:t>
            </w:r>
            <w:bookmarkStart w:id="81" w:name="xdx_408_eus-gaap--RetainedEarningsAccumu"/>
            <w:bookmarkEnd w:id="81"/>
          </w:p>
        </w:tc>
      </w:tr>
      <w:tr>
        <w:trPr/>
        <w:tc>
          <w:tcPr>
            <w:tcW w:w="701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(97,230,551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(50,608,445</w:t>
            </w:r>
          </w:p>
        </w:tc>
        <w:tc>
          <w:tcPr>
            <w:tcW w:w="87" w:type="dxa"/>
            <w:tcBorders/>
            <w:shd w:fill="FFFFFF" w:val="clear"/>
            <w:vAlign w:val="center"/>
          </w:tcPr>
          <w:p>
            <w:pPr>
              <w:pStyle w:val="TableContents"/>
              <w:bidi w:val="0"/>
              <w:spacing w:before="0" w:after="283"/>
              <w:ind w:left="0" w:right="0" w:hanging="180"/>
              <w:jc w:val="left"/>
              <w:rPr/>
            </w:pPr>
            <w:r>
              <w:rPr/>
              <w:t>)</w:t>
            </w:r>
            <w:bookmarkStart w:id="82" w:name="xdx_403_eus-gaap--StockholdersEquity_i01"/>
            <w:bookmarkEnd w:id="82"/>
          </w:p>
        </w:tc>
      </w:tr>
      <w:tr>
        <w:trPr/>
        <w:tc>
          <w:tcPr>
            <w:tcW w:w="7013" w:type="dxa"/>
            <w:tcBorders/>
            <w:shd w:fill="CCEEFF" w:val="clear"/>
            <w:vAlign w:val="center"/>
          </w:tcPr>
          <w:p>
            <w:pPr>
              <w:pStyle w:val="TableContents"/>
              <w:bidi w:val="0"/>
              <w:spacing w:before="0" w:after="283"/>
              <w:jc w:val="left"/>
              <w:rPr/>
            </w:pPr>
            <w:r>
              <w:rPr/>
              <w:t>Total Shareholders’ Deficit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(11,814,270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(5,504,961</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83" w:name="xdx_400_eus-gaap--LiabilitiesAndStockhol"/>
            <w:bookmarkEnd w:id="83"/>
          </w:p>
        </w:tc>
      </w:tr>
      <w:tr>
        <w:trPr/>
        <w:tc>
          <w:tcPr>
            <w:tcW w:w="7013" w:type="dxa"/>
            <w:tcBorders/>
            <w:shd w:fill="CCEEFF" w:val="clear"/>
            <w:vAlign w:val="center"/>
          </w:tcPr>
          <w:p>
            <w:pPr>
              <w:pStyle w:val="TableContents"/>
              <w:bidi w:val="0"/>
              <w:spacing w:before="0" w:after="283"/>
              <w:jc w:val="left"/>
              <w:rPr>
                <w:b/>
              </w:rPr>
            </w:pPr>
            <w:r>
              <w:rPr>
                <w:b/>
              </w:rPr>
              <w:t>Total Liabilities and Shareholders’ Deficit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4,082,916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3,417,241</w:t>
            </w:r>
          </w:p>
        </w:tc>
        <w:tc>
          <w:tcPr>
            <w:tcW w:w="8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4" w:name="a_004"/>
      <w:bookmarkEnd w:id="84"/>
      <w:r>
        <w:rPr>
          <w:rFonts w:ascii="Times New Roman;Times;Serif" w:hAnsi="Times New Roman;Times;Serif"/>
          <w:b/>
          <w:i w:val="false"/>
          <w:caps w:val="false"/>
          <w:smallCaps w:val="false"/>
          <w:sz w:val="20"/>
        </w:rPr>
        <w:t>NEONC TECHNOLOGIES HOLDINGS, INC.</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5" w:name="xdx_30C_113_zlDjrFZyFLW7"/>
      <w:bookmarkStart w:id="86" w:name="xdx_30C_113_zlDjrFZyFLW7"/>
      <w:bookmarkEnd w:id="86"/>
    </w:p>
    <w:tbl>
      <w:tblPr>
        <w:tblW w:w="10205" w:type="dxa"/>
        <w:jc w:val="left"/>
        <w:tblInd w:w="0" w:type="dxa"/>
        <w:tblLayout w:type="fixed"/>
        <w:tblCellMar>
          <w:top w:w="0" w:type="dxa"/>
          <w:left w:w="0" w:type="dxa"/>
          <w:bottom w:w="0" w:type="dxa"/>
          <w:right w:w="0" w:type="dxa"/>
        </w:tblCellMar>
      </w:tblPr>
      <w:tblGrid>
        <w:gridCol w:w="4558"/>
        <w:gridCol w:w="60"/>
        <w:gridCol w:w="140"/>
        <w:gridCol w:w="1100"/>
        <w:gridCol w:w="95"/>
        <w:gridCol w:w="60"/>
        <w:gridCol w:w="140"/>
        <w:gridCol w:w="1100"/>
        <w:gridCol w:w="95"/>
        <w:gridCol w:w="60"/>
        <w:gridCol w:w="140"/>
        <w:gridCol w:w="1175"/>
        <w:gridCol w:w="95"/>
        <w:gridCol w:w="60"/>
        <w:gridCol w:w="140"/>
        <w:gridCol w:w="1100"/>
        <w:gridCol w:w="87"/>
      </w:tblGrid>
      <w:tr>
        <w:trPr/>
        <w:tc>
          <w:tcPr>
            <w:tcW w:w="4558"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 w:name="xdx_49C_20250701__20250930_z6GZJTet1IS2"/>
            <w:bookmarkEnd w:id="87"/>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 w:name="xdx_49A_20240701__20240930_z5A8SR6jCYXb"/>
            <w:bookmarkEnd w:id="88"/>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9" w:name="xdx_490_20250101__20250930_zaJ36sjZmaDk"/>
            <w:bookmarkEnd w:id="89"/>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 w:name="xdx_49C_20240101__20240930_zU19vKabLW69"/>
            <w:bookmarkEnd w:id="90"/>
          </w:p>
        </w:tc>
        <w:tc>
          <w:tcPr>
            <w:tcW w:w="110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5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Three Months Ended</w:t>
              <w:b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Nine Months Ended</w:t>
              <w:br/>
              <w:t>September 30,</w:t>
            </w:r>
          </w:p>
        </w:tc>
        <w:tc>
          <w:tcPr>
            <w:tcW w:w="87" w:type="dxa"/>
            <w:tcBorders/>
            <w:vAlign w:val="center"/>
          </w:tcPr>
          <w:p>
            <w:pPr>
              <w:pStyle w:val="TableContents"/>
              <w:bidi w:val="0"/>
              <w:spacing w:before="0" w:after="283"/>
              <w:jc w:val="center"/>
              <w:rPr/>
            </w:pPr>
            <w:r>
              <w:rPr/>
              <w:t> </w:t>
            </w:r>
          </w:p>
        </w:tc>
      </w:tr>
      <w:tr>
        <w:trPr/>
        <w:tc>
          <w:tcPr>
            <w:tcW w:w="45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7" w:type="dxa"/>
            <w:tcBorders/>
            <w:vAlign w:val="center"/>
          </w:tcPr>
          <w:p>
            <w:pPr>
              <w:pStyle w:val="TableContents"/>
              <w:bidi w:val="0"/>
              <w:spacing w:before="0" w:after="283"/>
              <w:ind w:left="0" w:right="0" w:hanging="180"/>
              <w:jc w:val="center"/>
              <w:rPr/>
            </w:pPr>
            <w:r>
              <w:rPr/>
              <w:t> </w:t>
            </w:r>
            <w:bookmarkStart w:id="91" w:name="xdx_40A_eus-gaap--RevenuesAbstract_iB_zg"/>
            <w:bookmarkEnd w:id="91"/>
          </w:p>
        </w:tc>
      </w:tr>
      <w:tr>
        <w:trPr/>
        <w:tc>
          <w:tcPr>
            <w:tcW w:w="4558"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92" w:name="xdx_400_eus-gaap--Revenues_i01_maCzys7_z"/>
            <w:bookmarkEnd w:id="92"/>
          </w:p>
        </w:tc>
      </w:tr>
      <w:tr>
        <w:trPr/>
        <w:tc>
          <w:tcPr>
            <w:tcW w:w="4558"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39,990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63,000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4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93" w:name="xdx_406_eus-gaap--OperatingExpensesAbstr"/>
            <w:bookmarkEnd w:id="93"/>
          </w:p>
        </w:tc>
      </w:tr>
      <w:tr>
        <w:trPr/>
        <w:tc>
          <w:tcPr>
            <w:tcW w:w="4558"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94" w:name="xdx_40A_eus-gaap--ResearchAndDevelopment"/>
            <w:bookmarkEnd w:id="94"/>
          </w:p>
        </w:tc>
      </w:tr>
      <w:tr>
        <w:trPr/>
        <w:tc>
          <w:tcPr>
            <w:tcW w:w="4558"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715,038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956,725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2,390,592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1,965,726</w:t>
            </w:r>
          </w:p>
        </w:tc>
        <w:tc>
          <w:tcPr>
            <w:tcW w:w="87" w:type="dxa"/>
            <w:tcBorders/>
            <w:shd w:fill="CCEEFF" w:val="clear"/>
            <w:vAlign w:val="center"/>
          </w:tcPr>
          <w:p>
            <w:pPr>
              <w:pStyle w:val="TableContents"/>
              <w:bidi w:val="0"/>
              <w:spacing w:before="0" w:after="283"/>
              <w:ind w:left="0" w:right="0" w:hanging="180"/>
              <w:jc w:val="left"/>
              <w:rPr/>
            </w:pPr>
            <w:r>
              <w:rPr/>
              <w:t> </w:t>
            </w:r>
            <w:bookmarkStart w:id="95" w:name="xdx_402_ecustom--LegalAndProfessional_i0"/>
            <w:bookmarkEnd w:id="95"/>
          </w:p>
        </w:tc>
      </w:tr>
      <w:tr>
        <w:trPr/>
        <w:tc>
          <w:tcPr>
            <w:tcW w:w="4558" w:type="dxa"/>
            <w:tcBorders/>
            <w:shd w:fill="FFFFFF" w:val="clear"/>
            <w:vAlign w:val="center"/>
          </w:tcPr>
          <w:p>
            <w:pPr>
              <w:pStyle w:val="TableContents"/>
              <w:bidi w:val="0"/>
              <w:spacing w:before="0" w:after="283"/>
              <w:jc w:val="left"/>
              <w:rPr/>
            </w:pPr>
            <w:r>
              <w:rPr/>
              <w:t>Legal and professional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496,803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1,754,287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1,652,141</w:t>
            </w:r>
          </w:p>
        </w:tc>
        <w:tc>
          <w:tcPr>
            <w:tcW w:w="87" w:type="dxa"/>
            <w:tcBorders/>
            <w:shd w:fill="FFFFFF" w:val="clear"/>
            <w:vAlign w:val="center"/>
          </w:tcPr>
          <w:p>
            <w:pPr>
              <w:pStyle w:val="TableContents"/>
              <w:bidi w:val="0"/>
              <w:spacing w:before="0" w:after="283"/>
              <w:ind w:left="0" w:right="0" w:hanging="180"/>
              <w:jc w:val="left"/>
              <w:rPr/>
            </w:pPr>
            <w:r>
              <w:rPr/>
              <w:t> </w:t>
            </w:r>
            <w:bookmarkStart w:id="96" w:name="xdx_40C_eus-gaap--GeneralAndAdministrati"/>
            <w:bookmarkEnd w:id="96"/>
          </w:p>
        </w:tc>
      </w:tr>
      <w:tr>
        <w:trPr/>
        <w:tc>
          <w:tcPr>
            <w:tcW w:w="455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902,985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2,736,732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973,923</w:t>
            </w:r>
          </w:p>
        </w:tc>
        <w:tc>
          <w:tcPr>
            <w:tcW w:w="87" w:type="dxa"/>
            <w:tcBorders/>
            <w:shd w:fill="CCEEFF" w:val="clear"/>
            <w:vAlign w:val="center"/>
          </w:tcPr>
          <w:p>
            <w:pPr>
              <w:pStyle w:val="TableContents"/>
              <w:bidi w:val="0"/>
              <w:spacing w:before="0" w:after="283"/>
              <w:ind w:left="0" w:right="0" w:hanging="180"/>
              <w:jc w:val="left"/>
              <w:rPr/>
            </w:pPr>
            <w:r>
              <w:rPr/>
              <w:t> </w:t>
            </w:r>
            <w:bookmarkStart w:id="97" w:name="xdx_408_eus-gaap--ShareBasedCompensation"/>
            <w:bookmarkEnd w:id="97"/>
          </w:p>
        </w:tc>
      </w:tr>
      <w:tr>
        <w:trPr/>
        <w:tc>
          <w:tcPr>
            <w:tcW w:w="4558"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5,040,246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25,964,096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bookmarkStart w:id="98" w:name="xdx_40B_ecustom--AdvisoryFees_i01_maCz2M"/>
            <w:bookmarkEnd w:id="98"/>
          </w:p>
        </w:tc>
      </w:tr>
      <w:tr>
        <w:trPr/>
        <w:tc>
          <w:tcPr>
            <w:tcW w:w="4558" w:type="dxa"/>
            <w:tcBorders/>
            <w:shd w:fill="CCEEFF" w:val="clear"/>
            <w:vAlign w:val="center"/>
          </w:tcPr>
          <w:p>
            <w:pPr>
              <w:pStyle w:val="TableContents"/>
              <w:bidi w:val="0"/>
              <w:spacing w:before="0" w:after="283"/>
              <w:jc w:val="left"/>
              <w:rPr/>
            </w:pPr>
            <w:r>
              <w:rPr/>
              <w:t>Advisory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11,737,806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500,000</w:t>
            </w:r>
          </w:p>
        </w:tc>
        <w:tc>
          <w:tcPr>
            <w:tcW w:w="87" w:type="dxa"/>
            <w:tcBorders/>
            <w:shd w:fill="CCEEFF" w:val="clear"/>
            <w:vAlign w:val="center"/>
          </w:tcPr>
          <w:p>
            <w:pPr>
              <w:pStyle w:val="TableContents"/>
              <w:bidi w:val="0"/>
              <w:spacing w:before="0" w:after="283"/>
              <w:ind w:left="0" w:right="0" w:hanging="180"/>
              <w:jc w:val="left"/>
              <w:rPr/>
            </w:pPr>
            <w:r>
              <w:rPr/>
              <w:t> </w:t>
            </w:r>
            <w:bookmarkStart w:id="99" w:name="xdx_40E_eus-gaap--OperatingExpenses_i01T"/>
            <w:bookmarkEnd w:id="99"/>
          </w:p>
        </w:tc>
      </w:tr>
      <w:tr>
        <w:trPr/>
        <w:tc>
          <w:tcPr>
            <w:tcW w:w="455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6,934,647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2,197,187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44,583,513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5,091,790</w:t>
            </w:r>
          </w:p>
        </w:tc>
        <w:tc>
          <w:tcPr>
            <w:tcW w:w="87" w:type="dxa"/>
            <w:tcBorders/>
            <w:shd w:fill="FFFFFF" w:val="clear"/>
            <w:vAlign w:val="center"/>
          </w:tcPr>
          <w:p>
            <w:pPr>
              <w:pStyle w:val="TableContents"/>
              <w:bidi w:val="0"/>
              <w:spacing w:before="0" w:after="283"/>
              <w:ind w:left="0" w:right="0" w:hanging="180"/>
              <w:jc w:val="left"/>
              <w:rPr/>
            </w:pPr>
            <w:r>
              <w:rPr/>
              <w:t> </w:t>
            </w:r>
            <w:bookmarkStart w:id="100" w:name="xdx_407_eus-gaap--OperatingIncomeLoss_i0"/>
            <w:bookmarkEnd w:id="100"/>
          </w:p>
        </w:tc>
      </w:tr>
      <w:tr>
        <w:trPr/>
        <w:tc>
          <w:tcPr>
            <w:tcW w:w="4558"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(6,934,647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(2,197,187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(44,543,523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(5,028,790</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4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101" w:name="xdx_405_eus-gaap--NonoperatingIncomeExpe"/>
            <w:bookmarkEnd w:id="101"/>
          </w:p>
        </w:tc>
      </w:tr>
      <w:tr>
        <w:trPr/>
        <w:tc>
          <w:tcPr>
            <w:tcW w:w="4558"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102" w:name="xdx_407_eus-gaap--InterestIncomeOther_i0"/>
            <w:bookmarkEnd w:id="102"/>
          </w:p>
        </w:tc>
      </w:tr>
      <w:tr>
        <w:trPr/>
        <w:tc>
          <w:tcPr>
            <w:tcW w:w="4558"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327,377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12,687</w:t>
            </w:r>
          </w:p>
        </w:tc>
        <w:tc>
          <w:tcPr>
            <w:tcW w:w="87" w:type="dxa"/>
            <w:tcBorders/>
            <w:shd w:fill="FFFFFF" w:val="clear"/>
            <w:vAlign w:val="center"/>
          </w:tcPr>
          <w:p>
            <w:pPr>
              <w:pStyle w:val="TableContents"/>
              <w:bidi w:val="0"/>
              <w:spacing w:before="0" w:after="283"/>
              <w:ind w:left="0" w:right="0" w:hanging="180"/>
              <w:jc w:val="left"/>
              <w:rPr/>
            </w:pPr>
            <w:r>
              <w:rPr/>
              <w:t> </w:t>
            </w:r>
            <w:bookmarkStart w:id="103" w:name="xdx_40F_eus-gaap--AmortizationOfFinancin"/>
            <w:bookmarkEnd w:id="103"/>
          </w:p>
        </w:tc>
      </w:tr>
      <w:tr>
        <w:trPr/>
        <w:tc>
          <w:tcPr>
            <w:tcW w:w="4558" w:type="dxa"/>
            <w:tcBorders/>
            <w:shd w:fill="CCEEFF" w:val="clear"/>
            <w:vAlign w:val="center"/>
          </w:tcPr>
          <w:p>
            <w:pPr>
              <w:pStyle w:val="TableContents"/>
              <w:bidi w:val="0"/>
              <w:spacing w:before="0" w:after="283"/>
              <w:jc w:val="left"/>
              <w:rPr/>
            </w:pPr>
            <w:r>
              <w:rPr/>
              <w:t>Amortization of debt issuance, and 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(438,111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(798,311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bookmarkStart w:id="104" w:name="xdx_400_eus-gaap--InterestExpense_i01N_d"/>
            <w:bookmarkEnd w:id="104"/>
          </w:p>
        </w:tc>
      </w:tr>
      <w:tr>
        <w:trPr/>
        <w:tc>
          <w:tcPr>
            <w:tcW w:w="4558" w:type="dxa"/>
            <w:tcBorders/>
            <w:shd w:fill="FFFFFF" w:val="clear"/>
            <w:vAlign w:val="center"/>
          </w:tcPr>
          <w:p>
            <w:pPr>
              <w:pStyle w:val="TableContents"/>
              <w:bidi w:val="0"/>
              <w:spacing w:before="0" w:after="283"/>
              <w:jc w:val="left"/>
              <w:rPr/>
            </w:pPr>
            <w:r>
              <w:rPr/>
              <w:t>Interest expense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(869,815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(1,227,487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(2,559,456</w:t>
            </w:r>
          </w:p>
        </w:tc>
        <w:tc>
          <w:tcPr>
            <w:tcW w:w="87" w:type="dxa"/>
            <w:tcBorders/>
            <w:shd w:fill="FFFFFF" w:val="clear"/>
            <w:vAlign w:val="center"/>
          </w:tcPr>
          <w:p>
            <w:pPr>
              <w:pStyle w:val="TableContents"/>
              <w:bidi w:val="0"/>
              <w:spacing w:before="0" w:after="283"/>
              <w:ind w:left="0" w:right="0" w:hanging="180"/>
              <w:jc w:val="left"/>
              <w:rPr/>
            </w:pPr>
            <w:r>
              <w:rPr/>
              <w:t>)</w:t>
            </w:r>
            <w:bookmarkStart w:id="105" w:name="xdx_406_ecustom--LossOnExtinguishmentOfB"/>
            <w:bookmarkEnd w:id="105"/>
          </w:p>
        </w:tc>
      </w:tr>
      <w:tr>
        <w:trPr/>
        <w:tc>
          <w:tcPr>
            <w:tcW w:w="4558" w:type="dxa"/>
            <w:tcBorders/>
            <w:shd w:fill="CCEEFF" w:val="clear"/>
            <w:vAlign w:val="center"/>
          </w:tcPr>
          <w:p>
            <w:pPr>
              <w:pStyle w:val="TableContents"/>
              <w:bidi w:val="0"/>
              <w:spacing w:before="0" w:after="283"/>
              <w:jc w:val="left"/>
              <w:rPr/>
            </w:pPr>
            <w:r>
              <w:rPr/>
              <w:t>Loss on extinguishment of Bridge loan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(2,069,923</w:t>
            </w:r>
          </w:p>
        </w:tc>
        <w:tc>
          <w:tcPr>
            <w:tcW w:w="87" w:type="dxa"/>
            <w:tcBorders/>
            <w:shd w:fill="CCEEFF" w:val="clear"/>
            <w:vAlign w:val="center"/>
          </w:tcPr>
          <w:p>
            <w:pPr>
              <w:pStyle w:val="TableContents"/>
              <w:bidi w:val="0"/>
              <w:spacing w:before="0" w:after="283"/>
              <w:ind w:left="0" w:right="0" w:hanging="180"/>
              <w:jc w:val="left"/>
              <w:rPr/>
            </w:pPr>
            <w:r>
              <w:rPr/>
              <w:t>)</w:t>
            </w:r>
            <w:bookmarkStart w:id="106" w:name="xdx_402_ecustom--LossOnChangeInFairValue"/>
            <w:bookmarkEnd w:id="106"/>
          </w:p>
        </w:tc>
      </w:tr>
      <w:tr>
        <w:trPr/>
        <w:tc>
          <w:tcPr>
            <w:tcW w:w="4558" w:type="dxa"/>
            <w:tcBorders/>
            <w:shd w:fill="FFFFFF" w:val="clear"/>
            <w:vAlign w:val="center"/>
          </w:tcPr>
          <w:p>
            <w:pPr>
              <w:pStyle w:val="TableContents"/>
              <w:bidi w:val="0"/>
              <w:spacing w:before="0" w:after="283"/>
              <w:jc w:val="left"/>
              <w:rPr/>
            </w:pPr>
            <w:r>
              <w:rPr/>
              <w:t>Loss on change in fair value of derivative liability related to sales of common stock through equity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(380,162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(380,162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bookmarkStart w:id="107" w:name="xdx_402_eus-gaap--NetIncomeLoss_iT_mtCzI"/>
            <w:bookmarkEnd w:id="107"/>
          </w:p>
        </w:tc>
      </w:tr>
      <w:tr>
        <w:trPr/>
        <w:tc>
          <w:tcPr>
            <w:tcW w:w="4558"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(8,615,920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(2,184,500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(46,622,106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(9,645,482</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4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108" w:name="xdx_406_eus-gaap--EarningsPerShareAbstra"/>
            <w:bookmarkEnd w:id="108"/>
          </w:p>
        </w:tc>
      </w:tr>
      <w:tr>
        <w:trPr/>
        <w:tc>
          <w:tcPr>
            <w:tcW w:w="4558" w:type="dxa"/>
            <w:tcBorders/>
            <w:shd w:fill="CCEEFF" w:val="clear"/>
            <w:vAlign w:val="center"/>
          </w:tcPr>
          <w:p>
            <w:pPr>
              <w:pStyle w:val="TableContents"/>
              <w:bidi w:val="0"/>
              <w:spacing w:before="0" w:after="283"/>
              <w:jc w:val="left"/>
              <w:rPr>
                <w:b/>
              </w:rPr>
            </w:pPr>
            <w:r>
              <w:rPr>
                <w:b/>
              </w:rPr>
              <w:t>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558" w:type="dxa"/>
            <w:tcBorders/>
            <w:shd w:fill="FFFFFF" w:val="clear"/>
            <w:vAlign w:val="center"/>
          </w:tcPr>
          <w:p>
            <w:pPr>
              <w:pStyle w:val="TableContents"/>
              <w:bidi w:val="0"/>
              <w:spacing w:before="0" w:after="283"/>
              <w:jc w:val="left"/>
              <w:rPr/>
            </w:pPr>
            <w:r>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9" w:name="xdx_904_eus-gaap--EarningsPerShareDilute"/>
            <w:bookmarkStart w:id="110" w:name="xdx_90E_eus-gaap--EarningsPerShareBasic_"/>
            <w:bookmarkEnd w:id="109"/>
            <w:bookmarkEnd w:id="110"/>
            <w:r>
              <w:rPr/>
              <w:t>(0.45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1" w:name="xdx_901_eus-gaap--EarningsPerShareDilute"/>
            <w:bookmarkStart w:id="112" w:name="xdx_900_eus-gaap--EarningsPerShareBasic_"/>
            <w:bookmarkEnd w:id="111"/>
            <w:bookmarkEnd w:id="112"/>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3" w:name="xdx_906_eus-gaap--EarningsPerShareDilute"/>
            <w:bookmarkStart w:id="114" w:name="xdx_90F_eus-gaap--EarningsPerShareBasic_"/>
            <w:bookmarkEnd w:id="113"/>
            <w:bookmarkEnd w:id="114"/>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5" w:name="xdx_909_eus-gaap--EarningsPerShareDilute"/>
            <w:bookmarkStart w:id="116" w:name="xdx_902_eus-gaap--EarningsPerShareBasic_"/>
            <w:bookmarkEnd w:id="115"/>
            <w:bookmarkEnd w:id="116"/>
            <w:r>
              <w:rPr/>
              <w:t>(0.56</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4558" w:type="dxa"/>
            <w:tcBorders/>
            <w:shd w:fill="CCEEFF" w:val="clear"/>
            <w:vAlign w:val="center"/>
          </w:tcPr>
          <w:p>
            <w:pPr>
              <w:pStyle w:val="TableContents"/>
              <w:bidi w:val="0"/>
              <w:spacing w:before="0" w:after="283"/>
              <w:jc w:val="left"/>
              <w:rPr/>
            </w:pPr>
            <w:r>
              <w:rPr/>
              <w:t>Weighted average number of common stock outstanding during the period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D_eus-gaap--WeightedAverageNumberO"/>
            <w:bookmarkStart w:id="118" w:name="xdx_90E_eus-gaap--WeightedAverageNumberO"/>
            <w:bookmarkEnd w:id="117"/>
            <w:bookmarkEnd w:id="118"/>
            <w:r>
              <w:rPr/>
              <w:t>19,211,745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9" w:name="xdx_906_eus-gaap--WeightedAverageNumberO"/>
            <w:bookmarkStart w:id="120" w:name="xdx_909_eus-gaap--WeightedAverageNumberO"/>
            <w:bookmarkEnd w:id="119"/>
            <w:bookmarkEnd w:id="120"/>
            <w:r>
              <w:rPr/>
              <w:t>17,918,330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1" w:name="xdx_90A_eus-gaap--WeightedAverageNumberO"/>
            <w:bookmarkStart w:id="122" w:name="xdx_90B_eus-gaap--WeightedAverageNumberO"/>
            <w:bookmarkEnd w:id="121"/>
            <w:bookmarkEnd w:id="122"/>
            <w:r>
              <w:rPr/>
              <w:t>18,787,603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3" w:name="xdx_903_eus-gaap--WeightedAverageNumberO"/>
            <w:bookmarkStart w:id="124" w:name="xdx_906_eus-gaap--WeightedAverageNumberO"/>
            <w:bookmarkEnd w:id="123"/>
            <w:bookmarkEnd w:id="124"/>
            <w:r>
              <w:rPr/>
              <w:t>17,353,327</w:t>
            </w:r>
          </w:p>
        </w:tc>
        <w:tc>
          <w:tcPr>
            <w:tcW w:w="8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25" w:name="a_005"/>
      <w:bookmarkEnd w:id="125"/>
      <w:r>
        <w:rPr>
          <w:rFonts w:ascii="Times New Roman;Times;Serif" w:hAnsi="Times New Roman;Times;Serif"/>
          <w:b/>
          <w:i w:val="false"/>
          <w:caps w:val="false"/>
          <w:smallCaps w:val="false"/>
          <w:sz w:val="20"/>
        </w:rPr>
        <w:t>NEONC TECHNOLOGIES HOLDINGS, INC.</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Shareholders’ Deficit (Unaudited)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Nine Months Ended September 30,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6" w:name="xdx_309_114_zlxq6N6zBvj8"/>
      <w:bookmarkStart w:id="127" w:name="xdx_309_114_zlxq6N6zBvj8"/>
      <w:bookmarkEnd w:id="127"/>
    </w:p>
    <w:tbl>
      <w:tblPr>
        <w:tblW w:w="10205" w:type="dxa"/>
        <w:jc w:val="left"/>
        <w:tblInd w:w="0" w:type="dxa"/>
        <w:tblLayout w:type="fixed"/>
        <w:tblCellMar>
          <w:top w:w="0" w:type="dxa"/>
          <w:left w:w="0" w:type="dxa"/>
          <w:bottom w:w="0" w:type="dxa"/>
          <w:right w:w="0" w:type="dxa"/>
        </w:tblCellMar>
      </w:tblPr>
      <w:tblGrid>
        <w:gridCol w:w="3484"/>
        <w:gridCol w:w="60"/>
        <w:gridCol w:w="60"/>
        <w:gridCol w:w="1100"/>
        <w:gridCol w:w="60"/>
        <w:gridCol w:w="60"/>
        <w:gridCol w:w="172"/>
        <w:gridCol w:w="688"/>
        <w:gridCol w:w="60"/>
        <w:gridCol w:w="60"/>
        <w:gridCol w:w="140"/>
        <w:gridCol w:w="1100"/>
        <w:gridCol w:w="60"/>
        <w:gridCol w:w="60"/>
        <w:gridCol w:w="145"/>
        <w:gridCol w:w="1225"/>
        <w:gridCol w:w="95"/>
        <w:gridCol w:w="60"/>
        <w:gridCol w:w="148"/>
        <w:gridCol w:w="1256"/>
        <w:gridCol w:w="112"/>
      </w:tblGrid>
      <w:tr>
        <w:trPr/>
        <w:tc>
          <w:tcPr>
            <w:tcW w:w="3484"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128" w:name="xdx_4B1_us-gaap--StatementEquityComponen"/>
            <w:bookmarkEnd w:id="128"/>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9" w:name="xdx_4B3_us-gaap--StatementEquityComponen"/>
            <w:bookmarkEnd w:id="129"/>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30" w:name="xdx_4BF_us-gaap--StatementEquityComponen"/>
            <w:bookmarkEnd w:id="130"/>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131" w:name="xdx_4B4_zTFiSnWi43qh"/>
            <w:bookmarkEnd w:id="131"/>
          </w:p>
        </w:tc>
        <w:tc>
          <w:tcPr>
            <w:tcW w:w="12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4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Additional</w:t>
              <w:br/>
              <w:t>Paid 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4" w:type="dxa"/>
            <w:gridSpan w:val="2"/>
            <w:tcBorders/>
            <w:vAlign w:val="center"/>
          </w:tcPr>
          <w:p>
            <w:pPr>
              <w:pStyle w:val="TableContents"/>
              <w:bidi w:val="0"/>
              <w:spacing w:before="0" w:after="283"/>
              <w:jc w:val="center"/>
              <w:rPr>
                <w:b/>
              </w:rPr>
            </w:pPr>
            <w:r>
              <w:rPr>
                <w:b/>
              </w:rPr>
              <w:t>Total</w:t>
              <w:br/>
              <w:t>Shareholders’</w:t>
            </w:r>
          </w:p>
        </w:tc>
        <w:tc>
          <w:tcPr>
            <w:tcW w:w="112" w:type="dxa"/>
            <w:tcBorders/>
            <w:vAlign w:val="center"/>
          </w:tcPr>
          <w:p>
            <w:pPr>
              <w:pStyle w:val="TableContents"/>
              <w:bidi w:val="0"/>
              <w:spacing w:before="0" w:after="283"/>
              <w:ind w:left="0" w:right="0" w:hanging="180"/>
              <w:jc w:val="center"/>
              <w:rPr/>
            </w:pPr>
            <w:r>
              <w:rPr/>
              <w:t> </w:t>
            </w:r>
          </w:p>
        </w:tc>
      </w:tr>
      <w:tr>
        <w:trPr/>
        <w:tc>
          <w:tcPr>
            <w:tcW w:w="34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ind w:left="0" w:right="0" w:hanging="180"/>
              <w:jc w:val="center"/>
              <w:rPr/>
            </w:pPr>
            <w:r>
              <w:rPr/>
              <w:t> </w:t>
            </w:r>
            <w:bookmarkStart w:id="132" w:name="xdx_431_c20240101__20240331_eus-gaap--St"/>
            <w:bookmarkEnd w:id="132"/>
          </w:p>
        </w:tc>
      </w:tr>
      <w:tr>
        <w:trPr/>
        <w:tc>
          <w:tcPr>
            <w:tcW w:w="3484" w:type="dxa"/>
            <w:tcBorders/>
            <w:shd w:fill="CCEEFF" w:val="clear"/>
            <w:vAlign w:val="center"/>
          </w:tcPr>
          <w:p>
            <w:pPr>
              <w:pStyle w:val="TableContents"/>
              <w:bidi w:val="0"/>
              <w:spacing w:before="0" w:after="283"/>
              <w:jc w:val="left"/>
              <w:rPr>
                <w:b/>
              </w:rPr>
            </w:pPr>
            <w:r>
              <w:rPr>
                <w:b/>
              </w:rPr>
              <w:t>Balance -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3_eus-gaap--SharesOutstanding_iS_c"/>
            <w:bookmarkEnd w:id="133"/>
          </w:p>
        </w:tc>
        <w:tc>
          <w:tcPr>
            <w:tcW w:w="1100" w:type="dxa"/>
            <w:tcBorders/>
            <w:shd w:fill="CCEEFF" w:val="clear"/>
            <w:vAlign w:val="center"/>
          </w:tcPr>
          <w:p>
            <w:pPr>
              <w:pStyle w:val="TableContents"/>
              <w:bidi w:val="0"/>
              <w:spacing w:before="0" w:after="283"/>
              <w:jc w:val="right"/>
              <w:rPr/>
            </w:pPr>
            <w:r>
              <w:rPr/>
              <w:t>16,560,000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24,720,072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(38,709,981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(13,988,253</w:t>
            </w:r>
          </w:p>
        </w:tc>
        <w:tc>
          <w:tcPr>
            <w:tcW w:w="112" w:type="dxa"/>
            <w:tcBorders/>
            <w:shd w:fill="CCEEFF" w:val="clear"/>
            <w:vAlign w:val="center"/>
          </w:tcPr>
          <w:p>
            <w:pPr>
              <w:pStyle w:val="TableContents"/>
              <w:bidi w:val="0"/>
              <w:spacing w:before="0" w:after="283"/>
              <w:ind w:left="0" w:right="0" w:hanging="180"/>
              <w:jc w:val="left"/>
              <w:rPr/>
            </w:pPr>
            <w:r>
              <w:rPr/>
              <w:t>)</w:t>
            </w:r>
            <w:bookmarkStart w:id="134" w:name="xdx_404_eus-gaap--ProfitLoss_zukE7dBAxR0"/>
            <w:bookmarkEnd w:id="134"/>
          </w:p>
        </w:tc>
      </w:tr>
      <w:tr>
        <w:trPr/>
        <w:tc>
          <w:tcPr>
            <w:tcW w:w="348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(2,938,976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(2,938,976</w:t>
            </w:r>
          </w:p>
        </w:tc>
        <w:tc>
          <w:tcPr>
            <w:tcW w:w="112" w:type="dxa"/>
            <w:tcBorders/>
            <w:shd w:fill="FFFFFF" w:val="clear"/>
            <w:vAlign w:val="center"/>
          </w:tcPr>
          <w:p>
            <w:pPr>
              <w:pStyle w:val="TableContents"/>
              <w:bidi w:val="0"/>
              <w:spacing w:before="0" w:after="283"/>
              <w:ind w:left="0" w:right="0" w:hanging="180"/>
              <w:jc w:val="left"/>
              <w:rPr/>
            </w:pPr>
            <w:r>
              <w:rPr/>
              <w:t>)</w:t>
            </w:r>
            <w:bookmarkStart w:id="135" w:name="xdx_43A_c20240401__20240630_eus-gaap--St"/>
            <w:bookmarkEnd w:id="135"/>
          </w:p>
        </w:tc>
      </w:tr>
      <w:tr>
        <w:trPr/>
        <w:tc>
          <w:tcPr>
            <w:tcW w:w="3484" w:type="dxa"/>
            <w:tcBorders/>
            <w:shd w:fill="CCEEFF" w:val="clear"/>
            <w:vAlign w:val="center"/>
          </w:tcPr>
          <w:p>
            <w:pPr>
              <w:pStyle w:val="TableContents"/>
              <w:bidi w:val="0"/>
              <w:spacing w:before="0" w:after="283"/>
              <w:jc w:val="left"/>
              <w:rPr>
                <w:b/>
              </w:rPr>
            </w:pPr>
            <w:r>
              <w:rPr>
                <w:b/>
              </w:rPr>
              <w:t>Balance -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6" w:name="xdx_988_eus-gaap--SharesOutstanding_iS_c"/>
            <w:bookmarkEnd w:id="13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16,560,000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1,656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24,720,072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(41,648,957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(16,927,229</w:t>
            </w:r>
          </w:p>
        </w:tc>
        <w:tc>
          <w:tcPr>
            <w:tcW w:w="112" w:type="dxa"/>
            <w:tcBorders/>
            <w:shd w:fill="CCEEFF" w:val="clear"/>
            <w:vAlign w:val="center"/>
          </w:tcPr>
          <w:p>
            <w:pPr>
              <w:pStyle w:val="TableContents"/>
              <w:bidi w:val="0"/>
              <w:spacing w:before="0" w:after="283"/>
              <w:ind w:left="0" w:right="0" w:hanging="180"/>
              <w:jc w:val="left"/>
              <w:rPr/>
            </w:pPr>
            <w:r>
              <w:rPr/>
              <w:t>)</w:t>
            </w:r>
            <w:bookmarkStart w:id="137" w:name="xdx_40E_ecustom--SaleOfCommonStockNetOfO"/>
            <w:bookmarkEnd w:id="137"/>
          </w:p>
        </w:tc>
      </w:tr>
      <w:tr>
        <w:trPr/>
        <w:tc>
          <w:tcPr>
            <w:tcW w:w="3484" w:type="dxa"/>
            <w:tcBorders/>
            <w:shd w:fill="FFFFFF" w:val="clear"/>
            <w:vAlign w:val="center"/>
          </w:tcPr>
          <w:p>
            <w:pPr>
              <w:pStyle w:val="TableContents"/>
              <w:bidi w:val="0"/>
              <w:spacing w:before="0" w:after="283"/>
              <w:jc w:val="left"/>
              <w:rPr/>
            </w:pPr>
            <w:r>
              <w:rPr/>
              <w:t>Sale of common stock,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0_ecustom--SaleOfCommonStockNetOfO"/>
            <w:bookmarkEnd w:id="138"/>
          </w:p>
        </w:tc>
        <w:tc>
          <w:tcPr>
            <w:tcW w:w="1100" w:type="dxa"/>
            <w:tcBorders/>
            <w:shd w:fill="FFFFFF" w:val="clear"/>
            <w:vAlign w:val="center"/>
          </w:tcPr>
          <w:p>
            <w:pPr>
              <w:pStyle w:val="TableContents"/>
              <w:bidi w:val="0"/>
              <w:spacing w:before="0" w:after="283"/>
              <w:jc w:val="right"/>
              <w:rPr/>
            </w:pPr>
            <w:r>
              <w:rPr/>
              <w:t>141,889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1,702,654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1,702,668</w:t>
            </w:r>
          </w:p>
        </w:tc>
        <w:tc>
          <w:tcPr>
            <w:tcW w:w="112" w:type="dxa"/>
            <w:tcBorders/>
            <w:shd w:fill="FFFFFF" w:val="clear"/>
            <w:vAlign w:val="center"/>
          </w:tcPr>
          <w:p>
            <w:pPr>
              <w:pStyle w:val="TableContents"/>
              <w:bidi w:val="0"/>
              <w:spacing w:before="0" w:after="283"/>
              <w:ind w:left="0" w:right="0" w:hanging="180"/>
              <w:jc w:val="left"/>
              <w:rPr/>
            </w:pPr>
            <w:r>
              <w:rPr/>
              <w:t> </w:t>
            </w:r>
            <w:bookmarkStart w:id="139" w:name="xdx_403_ecustom--CommonStockIssuedForBri"/>
            <w:bookmarkEnd w:id="139"/>
          </w:p>
        </w:tc>
      </w:tr>
      <w:tr>
        <w:trPr/>
        <w:tc>
          <w:tcPr>
            <w:tcW w:w="3484" w:type="dxa"/>
            <w:tcBorders/>
            <w:shd w:fill="CCEEFF" w:val="clear"/>
            <w:vAlign w:val="center"/>
          </w:tcPr>
          <w:p>
            <w:pPr>
              <w:pStyle w:val="TableContents"/>
              <w:bidi w:val="0"/>
              <w:spacing w:before="0" w:after="283"/>
              <w:jc w:val="left"/>
              <w:rPr/>
            </w:pPr>
            <w:r>
              <w:rPr/>
              <w:t>Common stock issued for bridge loan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0" w:name="xdx_985_ecustom--CommonStockIssuedForBri"/>
            <w:bookmarkEnd w:id="140"/>
          </w:p>
        </w:tc>
        <w:tc>
          <w:tcPr>
            <w:tcW w:w="1100" w:type="dxa"/>
            <w:tcBorders/>
            <w:shd w:fill="CCEEFF" w:val="clear"/>
            <w:vAlign w:val="center"/>
          </w:tcPr>
          <w:p>
            <w:pPr>
              <w:pStyle w:val="TableContents"/>
              <w:bidi w:val="0"/>
              <w:spacing w:before="0" w:after="283"/>
              <w:jc w:val="right"/>
              <w:rPr/>
            </w:pPr>
            <w:r>
              <w:rPr/>
              <w:t>979,039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11,748,366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11,748,464</w:t>
            </w:r>
          </w:p>
        </w:tc>
        <w:tc>
          <w:tcPr>
            <w:tcW w:w="112" w:type="dxa"/>
            <w:tcBorders/>
            <w:shd w:fill="CCEEFF" w:val="clear"/>
            <w:vAlign w:val="center"/>
          </w:tcPr>
          <w:p>
            <w:pPr>
              <w:pStyle w:val="TableContents"/>
              <w:bidi w:val="0"/>
              <w:spacing w:before="0" w:after="283"/>
              <w:ind w:left="0" w:right="0" w:hanging="180"/>
              <w:jc w:val="left"/>
              <w:rPr/>
            </w:pPr>
            <w:r>
              <w:rPr/>
              <w:t> </w:t>
            </w:r>
            <w:bookmarkStart w:id="141" w:name="xdx_40C_ecustom--CommonStockIssuedForSet"/>
            <w:bookmarkEnd w:id="141"/>
          </w:p>
        </w:tc>
      </w:tr>
      <w:tr>
        <w:trPr/>
        <w:tc>
          <w:tcPr>
            <w:tcW w:w="3484" w:type="dxa"/>
            <w:tcBorders/>
            <w:shd w:fill="FFFFFF" w:val="clear"/>
            <w:vAlign w:val="center"/>
          </w:tcPr>
          <w:p>
            <w:pPr>
              <w:pStyle w:val="TableContents"/>
              <w:bidi w:val="0"/>
              <w:spacing w:before="0" w:after="283"/>
              <w:jc w:val="left"/>
              <w:rPr/>
            </w:pPr>
            <w:r>
              <w:rPr/>
              <w:t>Common stock issued for settlement of vendor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2" w:name="xdx_982_ecustom--CommonStockIssuedForSet"/>
            <w:bookmarkEnd w:id="142"/>
          </w:p>
        </w:tc>
        <w:tc>
          <w:tcPr>
            <w:tcW w:w="1100" w:type="dxa"/>
            <w:tcBorders/>
            <w:shd w:fill="FFFFFF" w:val="clear"/>
            <w:vAlign w:val="center"/>
          </w:tcPr>
          <w:p>
            <w:pPr>
              <w:pStyle w:val="TableContents"/>
              <w:bidi w:val="0"/>
              <w:spacing w:before="0" w:after="283"/>
              <w:jc w:val="right"/>
              <w:rPr/>
            </w:pPr>
            <w:r>
              <w:rPr/>
              <w:t>114,758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1,377,078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1,377,090</w:t>
            </w:r>
          </w:p>
        </w:tc>
        <w:tc>
          <w:tcPr>
            <w:tcW w:w="112" w:type="dxa"/>
            <w:tcBorders/>
            <w:shd w:fill="FFFFFF" w:val="clear"/>
            <w:vAlign w:val="center"/>
          </w:tcPr>
          <w:p>
            <w:pPr>
              <w:pStyle w:val="TableContents"/>
              <w:bidi w:val="0"/>
              <w:spacing w:before="0" w:after="283"/>
              <w:ind w:left="0" w:right="0" w:hanging="180"/>
              <w:jc w:val="left"/>
              <w:rPr/>
            </w:pPr>
            <w:r>
              <w:rPr/>
              <w:t> </w:t>
            </w:r>
            <w:bookmarkStart w:id="143" w:name="xdx_40C_ecustom--CommonStockIssuedForSet"/>
            <w:bookmarkEnd w:id="143"/>
          </w:p>
        </w:tc>
      </w:tr>
      <w:tr>
        <w:trPr/>
        <w:tc>
          <w:tcPr>
            <w:tcW w:w="3484" w:type="dxa"/>
            <w:tcBorders/>
            <w:shd w:fill="CCEEFF" w:val="clear"/>
            <w:vAlign w:val="center"/>
          </w:tcPr>
          <w:p>
            <w:pPr>
              <w:pStyle w:val="TableContents"/>
              <w:bidi w:val="0"/>
              <w:spacing w:before="0" w:after="283"/>
              <w:jc w:val="left"/>
              <w:rPr/>
            </w:pPr>
            <w:r>
              <w:rPr/>
              <w:t>Common stock issued for settlement of accrued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6_ecustom--CommonStockIssuedForSet"/>
            <w:bookmarkEnd w:id="144"/>
          </w:p>
        </w:tc>
        <w:tc>
          <w:tcPr>
            <w:tcW w:w="1100" w:type="dxa"/>
            <w:tcBorders/>
            <w:shd w:fill="CCEEFF" w:val="clear"/>
            <w:vAlign w:val="center"/>
          </w:tcPr>
          <w:p>
            <w:pPr>
              <w:pStyle w:val="TableContents"/>
              <w:bidi w:val="0"/>
              <w:spacing w:before="0" w:after="283"/>
              <w:jc w:val="right"/>
              <w:rPr/>
            </w:pPr>
            <w:r>
              <w:rPr/>
              <w:t>34,375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412,497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412,500</w:t>
            </w:r>
          </w:p>
        </w:tc>
        <w:tc>
          <w:tcPr>
            <w:tcW w:w="112" w:type="dxa"/>
            <w:tcBorders/>
            <w:shd w:fill="CCEEFF" w:val="clear"/>
            <w:vAlign w:val="center"/>
          </w:tcPr>
          <w:p>
            <w:pPr>
              <w:pStyle w:val="TableContents"/>
              <w:bidi w:val="0"/>
              <w:spacing w:before="0" w:after="283"/>
              <w:ind w:left="0" w:right="0" w:hanging="180"/>
              <w:jc w:val="left"/>
              <w:rPr/>
            </w:pPr>
            <w:r>
              <w:rPr/>
              <w:t> </w:t>
            </w:r>
            <w:bookmarkStart w:id="145" w:name="xdx_405_eus-gaap--ProfitLoss_zZ4KqsVSxaD"/>
            <w:bookmarkEnd w:id="145"/>
          </w:p>
        </w:tc>
      </w:tr>
      <w:tr>
        <w:trPr/>
        <w:tc>
          <w:tcPr>
            <w:tcW w:w="348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(4,522,006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(4,522,006</w:t>
            </w:r>
          </w:p>
        </w:tc>
        <w:tc>
          <w:tcPr>
            <w:tcW w:w="112" w:type="dxa"/>
            <w:tcBorders/>
            <w:shd w:fill="FFFFFF" w:val="clear"/>
            <w:vAlign w:val="center"/>
          </w:tcPr>
          <w:p>
            <w:pPr>
              <w:pStyle w:val="TableContents"/>
              <w:bidi w:val="0"/>
              <w:spacing w:before="0" w:after="283"/>
              <w:ind w:left="0" w:right="0" w:hanging="180"/>
              <w:jc w:val="left"/>
              <w:rPr/>
            </w:pPr>
            <w:r>
              <w:rPr/>
              <w:t>)</w:t>
            </w:r>
            <w:bookmarkStart w:id="146" w:name="xdx_434_c20240701__20240930_eus-gaap--St"/>
            <w:bookmarkEnd w:id="146"/>
          </w:p>
        </w:tc>
      </w:tr>
      <w:tr>
        <w:trPr/>
        <w:tc>
          <w:tcPr>
            <w:tcW w:w="3484" w:type="dxa"/>
            <w:tcBorders/>
            <w:shd w:fill="CCEEFF" w:val="clear"/>
            <w:vAlign w:val="center"/>
          </w:tcPr>
          <w:p>
            <w:pPr>
              <w:pStyle w:val="TableContents"/>
              <w:bidi w:val="0"/>
              <w:spacing w:before="0" w:after="283"/>
              <w:jc w:val="left"/>
              <w:rPr>
                <w:b/>
              </w:rPr>
            </w:pPr>
            <w:r>
              <w:rPr>
                <w:b/>
              </w:rPr>
              <w:t>Balance -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7" w:name="xdx_98C_eus-gaap--SharesOutstanding_iS_c"/>
            <w:bookmarkEnd w:id="14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17,830,061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1,783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39,960,667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(46,170,963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(6,208,513</w:t>
            </w:r>
          </w:p>
        </w:tc>
        <w:tc>
          <w:tcPr>
            <w:tcW w:w="112" w:type="dxa"/>
            <w:tcBorders/>
            <w:shd w:fill="CCEEFF" w:val="clear"/>
            <w:vAlign w:val="center"/>
          </w:tcPr>
          <w:p>
            <w:pPr>
              <w:pStyle w:val="TableContents"/>
              <w:bidi w:val="0"/>
              <w:spacing w:before="0" w:after="283"/>
              <w:ind w:left="0" w:right="0" w:hanging="180"/>
              <w:jc w:val="left"/>
              <w:rPr/>
            </w:pPr>
            <w:r>
              <w:rPr/>
              <w:t>)</w:t>
            </w:r>
            <w:bookmarkStart w:id="148" w:name="xdx_40E_ecustom--SaleOfCommonStockNetOfO"/>
            <w:bookmarkEnd w:id="148"/>
          </w:p>
        </w:tc>
      </w:tr>
      <w:tr>
        <w:trPr/>
        <w:tc>
          <w:tcPr>
            <w:tcW w:w="3484"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Sale of common stock, net of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9" w:name="xdx_982_ecustom--SaleOfCommonStockNetOfO"/>
            <w:bookmarkEnd w:id="149"/>
          </w:p>
        </w:tc>
        <w:tc>
          <w:tcPr>
            <w:tcW w:w="110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242,757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2,913,098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2,913,123</w:t>
            </w:r>
          </w:p>
        </w:tc>
        <w:tc>
          <w:tcPr>
            <w:tcW w:w="11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50" w:name="xdx_403_ecustom--CommonStockIssuedForSet"/>
            <w:bookmarkEnd w:id="150"/>
          </w:p>
        </w:tc>
      </w:tr>
      <w:tr>
        <w:trPr/>
        <w:tc>
          <w:tcPr>
            <w:tcW w:w="3484"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Common stock issued for settlement of vendor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1" w:name="xdx_985_ecustom--CommonStockIssuedForSet"/>
            <w:bookmarkEnd w:id="151"/>
          </w:p>
        </w:tc>
        <w:tc>
          <w:tcPr>
            <w:tcW w:w="110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149,999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150,000</w:t>
            </w:r>
          </w:p>
        </w:tc>
        <w:tc>
          <w:tcPr>
            <w:tcW w:w="11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52" w:name="xdx_407_ecustom--CommonStockIssuedForNot"/>
            <w:bookmarkEnd w:id="152"/>
          </w:p>
        </w:tc>
      </w:tr>
      <w:tr>
        <w:trPr/>
        <w:tc>
          <w:tcPr>
            <w:tcW w:w="3484"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Common stock issued for note payable conversion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3" w:name="xdx_988_ecustom--CommonStockIssuedForNot"/>
            <w:bookmarkEnd w:id="153"/>
          </w:p>
        </w:tc>
        <w:tc>
          <w:tcPr>
            <w:tcW w:w="110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5,208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62,498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62,498</w:t>
            </w:r>
          </w:p>
        </w:tc>
        <w:tc>
          <w:tcPr>
            <w:tcW w:w="11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54" w:name="xdx_405_eus-gaap--ProfitLoss_zx9Byy4h41I"/>
            <w:bookmarkEnd w:id="154"/>
          </w:p>
        </w:tc>
      </w:tr>
      <w:tr>
        <w:trPr/>
        <w:tc>
          <w:tcPr>
            <w:tcW w:w="3484" w:type="dxa"/>
            <w:tcBorders/>
            <w:shd w:fill="CCEEFF" w:val="clear"/>
            <w:vAlign w:val="center"/>
          </w:tcPr>
          <w:p>
            <w:pPr>
              <w:pStyle w:val="TableContents"/>
              <w:bidi w:val="0"/>
              <w:spacing w:before="0" w:after="283"/>
              <w:jc w:val="left"/>
              <w:rPr>
                <w:b/>
                <w:i w:val="false"/>
                <w:caps w:val="false"/>
                <w:smallCaps w:val="false"/>
              </w:rPr>
            </w:pPr>
            <w:r>
              <w:rPr>
                <w:b/>
                <w:i w:val="false"/>
                <w:caps w:val="false"/>
                <w:smallCaps w:val="false"/>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(2,184,500</w:t>
            </w:r>
          </w:p>
        </w:tc>
        <w:tc>
          <w:tcPr>
            <w:tcW w:w="9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(2,184,500</w:t>
            </w:r>
          </w:p>
        </w:tc>
        <w:tc>
          <w:tcPr>
            <w:tcW w:w="112" w:type="dxa"/>
            <w:tcBorders/>
            <w:shd w:fill="CCEEFF" w:val="clear"/>
            <w:vAlign w:val="center"/>
          </w:tcPr>
          <w:p>
            <w:pPr>
              <w:pStyle w:val="TableContents"/>
              <w:bidi w:val="0"/>
              <w:spacing w:before="0" w:after="283"/>
              <w:ind w:left="0" w:right="0" w:hanging="180"/>
              <w:jc w:val="left"/>
              <w:rPr>
                <w:b w:val="false"/>
                <w:i w:val="false"/>
                <w:caps w:val="false"/>
                <w:smallCaps w:val="false"/>
              </w:rPr>
            </w:pPr>
            <w:r>
              <w:rPr>
                <w:b w:val="false"/>
                <w:i w:val="false"/>
                <w:caps w:val="false"/>
                <w:smallCaps w:val="false"/>
              </w:rPr>
              <w:t>)</w:t>
            </w:r>
            <w:bookmarkStart w:id="155" w:name="xdx_430_c20240701__20240930_eus-gaap--St"/>
            <w:bookmarkEnd w:id="155"/>
          </w:p>
        </w:tc>
      </w:tr>
      <w:tr>
        <w:trPr/>
        <w:tc>
          <w:tcPr>
            <w:tcW w:w="3484" w:type="dxa"/>
            <w:tcBorders/>
            <w:shd w:fill="FFFFFF" w:val="clear"/>
            <w:vAlign w:val="center"/>
          </w:tcPr>
          <w:p>
            <w:pPr>
              <w:pStyle w:val="TableContents"/>
              <w:bidi w:val="0"/>
              <w:spacing w:before="0" w:after="283"/>
              <w:jc w:val="left"/>
              <w:rPr>
                <w:b/>
                <w:i w:val="false"/>
                <w:caps w:val="false"/>
                <w:smallCaps w:val="false"/>
              </w:rPr>
            </w:pPr>
            <w:r>
              <w:rPr>
                <w:b/>
                <w:i w:val="false"/>
                <w:caps w:val="false"/>
                <w:smallCaps w:val="false"/>
              </w:rPr>
              <w:t>Balance - September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6" w:name="xdx_98D_eus-gaap--SharesOutstanding_iE_c"/>
            <w:bookmarkEnd w:id="15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18,090,526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1,809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43,086,262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(48,355,463</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(5,267,392</w:t>
            </w:r>
          </w:p>
        </w:tc>
        <w:tc>
          <w:tcPr>
            <w:tcW w:w="112"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NEONC TECHNOLOGIES HOLDINGS, INC.</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Shareholders’ Deficit (Unaudited)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Nine Months Ended September 30, 2025</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7"/>
        <w:gridCol w:w="60"/>
        <w:gridCol w:w="60"/>
        <w:gridCol w:w="1100"/>
        <w:gridCol w:w="60"/>
        <w:gridCol w:w="60"/>
        <w:gridCol w:w="172"/>
        <w:gridCol w:w="688"/>
        <w:gridCol w:w="60"/>
        <w:gridCol w:w="60"/>
        <w:gridCol w:w="140"/>
        <w:gridCol w:w="1100"/>
        <w:gridCol w:w="95"/>
        <w:gridCol w:w="60"/>
        <w:gridCol w:w="145"/>
        <w:gridCol w:w="1225"/>
        <w:gridCol w:w="95"/>
        <w:gridCol w:w="60"/>
        <w:gridCol w:w="147"/>
        <w:gridCol w:w="1250"/>
        <w:gridCol w:w="111"/>
      </w:tblGrid>
      <w:tr>
        <w:trPr/>
        <w:tc>
          <w:tcPr>
            <w:tcW w:w="345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Additional</w:t>
              <w:br/>
              <w:t>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7" w:type="dxa"/>
            <w:gridSpan w:val="2"/>
            <w:tcBorders/>
            <w:vAlign w:val="center"/>
          </w:tcPr>
          <w:p>
            <w:pPr>
              <w:pStyle w:val="TableContents"/>
              <w:bidi w:val="0"/>
              <w:spacing w:before="0" w:after="283"/>
              <w:jc w:val="center"/>
              <w:rPr>
                <w:b/>
              </w:rPr>
            </w:pPr>
            <w:r>
              <w:rPr>
                <w:b/>
              </w:rPr>
              <w:t>Total</w:t>
              <w:br/>
              <w:t>Shareholders’</w:t>
            </w:r>
          </w:p>
        </w:tc>
        <w:tc>
          <w:tcPr>
            <w:tcW w:w="111" w:type="dxa"/>
            <w:tcBorders/>
            <w:vAlign w:val="center"/>
          </w:tcPr>
          <w:p>
            <w:pPr>
              <w:pStyle w:val="TableContents"/>
              <w:bidi w:val="0"/>
              <w:spacing w:before="0" w:after="283"/>
              <w:ind w:left="0" w:right="0" w:hanging="180"/>
              <w:jc w:val="center"/>
              <w:rPr/>
            </w:pPr>
            <w:r>
              <w:rPr/>
              <w:t> </w:t>
            </w:r>
          </w:p>
        </w:tc>
      </w:tr>
      <w:tr>
        <w:trPr/>
        <w:tc>
          <w:tcPr>
            <w:tcW w:w="34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1" w:type="dxa"/>
            <w:tcBorders/>
            <w:vAlign w:val="center"/>
          </w:tcPr>
          <w:p>
            <w:pPr>
              <w:pStyle w:val="TableContents"/>
              <w:bidi w:val="0"/>
              <w:spacing w:before="0" w:after="283"/>
              <w:ind w:left="0" w:right="0" w:hanging="180"/>
              <w:jc w:val="center"/>
              <w:rPr/>
            </w:pPr>
            <w:r>
              <w:rPr/>
              <w:t> </w:t>
            </w:r>
            <w:bookmarkStart w:id="157" w:name="xdx_43D_c20250101__20250331_eus-gaap--St"/>
            <w:bookmarkEnd w:id="157"/>
          </w:p>
        </w:tc>
      </w:tr>
      <w:tr>
        <w:trPr/>
        <w:tc>
          <w:tcPr>
            <w:tcW w:w="3457"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3_eus-gaap--SharesOutstanding_iS_c"/>
            <w:bookmarkEnd w:id="158"/>
          </w:p>
        </w:tc>
        <w:tc>
          <w:tcPr>
            <w:tcW w:w="1100" w:type="dxa"/>
            <w:tcBorders/>
            <w:shd w:fill="CCEEFF" w:val="clear"/>
            <w:vAlign w:val="center"/>
          </w:tcPr>
          <w:p>
            <w:pPr>
              <w:pStyle w:val="TableContents"/>
              <w:bidi w:val="0"/>
              <w:spacing w:before="0" w:after="283"/>
              <w:jc w:val="right"/>
              <w:rPr/>
            </w:pPr>
            <w:r>
              <w:rPr/>
              <w:t>18,090,526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45,101,675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(50,608,445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(5,504,961</w:t>
            </w:r>
          </w:p>
        </w:tc>
        <w:tc>
          <w:tcPr>
            <w:tcW w:w="111" w:type="dxa"/>
            <w:tcBorders/>
            <w:shd w:fill="CCEEFF" w:val="clear"/>
            <w:vAlign w:val="center"/>
          </w:tcPr>
          <w:p>
            <w:pPr>
              <w:pStyle w:val="TableContents"/>
              <w:bidi w:val="0"/>
              <w:spacing w:before="0" w:after="283"/>
              <w:ind w:left="0" w:right="0" w:hanging="180"/>
              <w:jc w:val="left"/>
              <w:rPr/>
            </w:pPr>
            <w:r>
              <w:rPr/>
              <w:t>)</w:t>
            </w:r>
            <w:bookmarkStart w:id="159" w:name="xdx_402_ecustom--SaleOfCommonStockNetOfO"/>
            <w:bookmarkEnd w:id="159"/>
          </w:p>
        </w:tc>
      </w:tr>
      <w:tr>
        <w:trPr/>
        <w:tc>
          <w:tcPr>
            <w:tcW w:w="3457" w:type="dxa"/>
            <w:tcBorders/>
            <w:shd w:fill="FFFFFF" w:val="clear"/>
            <w:vAlign w:val="center"/>
          </w:tcPr>
          <w:p>
            <w:pPr>
              <w:pStyle w:val="TableContents"/>
              <w:bidi w:val="0"/>
              <w:spacing w:before="0" w:after="283"/>
              <w:jc w:val="left"/>
              <w:rPr/>
            </w:pPr>
            <w:r>
              <w:rPr/>
              <w:t>Sale of common stock,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0" w:name="xdx_98E_ecustom--SaleOfCommonStockNetOfO"/>
            <w:bookmarkEnd w:id="160"/>
          </w:p>
        </w:tc>
        <w:tc>
          <w:tcPr>
            <w:tcW w:w="1100" w:type="dxa"/>
            <w:tcBorders/>
            <w:shd w:fill="FFFFFF" w:val="clear"/>
            <w:vAlign w:val="center"/>
          </w:tcPr>
          <w:p>
            <w:pPr>
              <w:pStyle w:val="TableContents"/>
              <w:bidi w:val="0"/>
              <w:spacing w:before="0" w:after="283"/>
              <w:jc w:val="right"/>
              <w:rPr/>
            </w:pPr>
            <w:r>
              <w:rPr/>
              <w:t>727,750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10,252,425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10,252,498</w:t>
            </w:r>
          </w:p>
        </w:tc>
        <w:tc>
          <w:tcPr>
            <w:tcW w:w="111" w:type="dxa"/>
            <w:tcBorders/>
            <w:shd w:fill="FFFFFF" w:val="clear"/>
            <w:vAlign w:val="center"/>
          </w:tcPr>
          <w:p>
            <w:pPr>
              <w:pStyle w:val="TableContents"/>
              <w:bidi w:val="0"/>
              <w:spacing w:before="0" w:after="283"/>
              <w:ind w:left="0" w:right="0" w:hanging="180"/>
              <w:jc w:val="left"/>
              <w:rPr/>
            </w:pPr>
            <w:r>
              <w:rPr/>
              <w:t> </w:t>
            </w:r>
            <w:bookmarkStart w:id="161" w:name="xdx_40B_ecustom--CommonStockIssuedForAdv"/>
            <w:bookmarkEnd w:id="161"/>
          </w:p>
        </w:tc>
      </w:tr>
      <w:tr>
        <w:trPr/>
        <w:tc>
          <w:tcPr>
            <w:tcW w:w="3457" w:type="dxa"/>
            <w:tcBorders/>
            <w:shd w:fill="CCEEFF" w:val="clear"/>
            <w:vAlign w:val="center"/>
          </w:tcPr>
          <w:p>
            <w:pPr>
              <w:pStyle w:val="TableContents"/>
              <w:bidi w:val="0"/>
              <w:spacing w:before="0" w:after="283"/>
              <w:jc w:val="left"/>
              <w:rPr/>
            </w:pPr>
            <w:r>
              <w:rPr/>
              <w:t>Common stock issued for advisory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0_ecustom--CommonStockIssuedForAdv"/>
            <w:bookmarkEnd w:id="162"/>
          </w:p>
        </w:tc>
        <w:tc>
          <w:tcPr>
            <w:tcW w:w="1100" w:type="dxa"/>
            <w:tcBorders/>
            <w:shd w:fill="CCEEFF" w:val="clear"/>
            <w:vAlign w:val="center"/>
          </w:tcPr>
          <w:p>
            <w:pPr>
              <w:pStyle w:val="TableContents"/>
              <w:bidi w:val="0"/>
              <w:spacing w:before="0" w:after="283"/>
              <w:jc w:val="right"/>
              <w:rPr/>
            </w:pPr>
            <w:r>
              <w:rPr/>
              <w:t>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557,055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557,060</w:t>
            </w:r>
          </w:p>
        </w:tc>
        <w:tc>
          <w:tcPr>
            <w:tcW w:w="111" w:type="dxa"/>
            <w:tcBorders/>
            <w:shd w:fill="CCEEFF" w:val="clear"/>
            <w:vAlign w:val="center"/>
          </w:tcPr>
          <w:p>
            <w:pPr>
              <w:pStyle w:val="TableContents"/>
              <w:bidi w:val="0"/>
              <w:spacing w:before="0" w:after="283"/>
              <w:ind w:left="0" w:right="0" w:hanging="180"/>
              <w:jc w:val="left"/>
              <w:rPr/>
            </w:pPr>
            <w:r>
              <w:rPr/>
              <w:t> </w:t>
            </w:r>
            <w:bookmarkStart w:id="163" w:name="xdx_400_ecustom--CashlessExerciseOfWarra"/>
            <w:bookmarkEnd w:id="163"/>
          </w:p>
        </w:tc>
      </w:tr>
      <w:tr>
        <w:trPr/>
        <w:tc>
          <w:tcPr>
            <w:tcW w:w="3457" w:type="dxa"/>
            <w:tcBorders/>
            <w:shd w:fill="FFFFFF" w:val="clear"/>
            <w:vAlign w:val="center"/>
          </w:tcPr>
          <w:p>
            <w:pPr>
              <w:pStyle w:val="TableContents"/>
              <w:bidi w:val="0"/>
              <w:spacing w:before="0" w:after="283"/>
              <w:jc w:val="left"/>
              <w:rPr/>
            </w:pPr>
            <w:r>
              <w:rPr/>
              <w:t>Cashless 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5_ecustom--CashlessExerciseOfWarra"/>
            <w:bookmarkEnd w:id="164"/>
          </w:p>
        </w:tc>
        <w:tc>
          <w:tcPr>
            <w:tcW w:w="1100" w:type="dxa"/>
            <w:tcBorders/>
            <w:shd w:fill="FFFFFF" w:val="clear"/>
            <w:vAlign w:val="center"/>
          </w:tcPr>
          <w:p>
            <w:pPr>
              <w:pStyle w:val="TableContents"/>
              <w:bidi w:val="0"/>
              <w:spacing w:before="0" w:after="283"/>
              <w:jc w:val="right"/>
              <w:rPr/>
            </w:pPr>
            <w:r>
              <w:rPr/>
              <w:t>162,500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180"/>
              <w:jc w:val="left"/>
              <w:rPr/>
            </w:pPr>
            <w:r>
              <w:rPr/>
              <w:t> </w:t>
            </w:r>
            <w:bookmarkStart w:id="165" w:name="xdx_401_eus-gaap--AdjustmentsToAdditiona"/>
            <w:bookmarkEnd w:id="165"/>
          </w:p>
        </w:tc>
      </w:tr>
      <w:tr>
        <w:trPr/>
        <w:tc>
          <w:tcPr>
            <w:tcW w:w="3457" w:type="dxa"/>
            <w:tcBorders/>
            <w:shd w:fill="CCEEFF" w:val="clear"/>
            <w:vAlign w:val="center"/>
          </w:tcPr>
          <w:p>
            <w:pPr>
              <w:pStyle w:val="TableContents"/>
              <w:bidi w:val="0"/>
              <w:spacing w:before="0" w:after="283"/>
              <w:jc w:val="left"/>
              <w:rPr/>
            </w:pPr>
            <w:r>
              <w:rPr/>
              <w:t>Share based compensation, as restated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17,397,774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17,397,774</w:t>
            </w:r>
          </w:p>
        </w:tc>
        <w:tc>
          <w:tcPr>
            <w:tcW w:w="111" w:type="dxa"/>
            <w:tcBorders/>
            <w:shd w:fill="CCEEFF" w:val="clear"/>
            <w:vAlign w:val="center"/>
          </w:tcPr>
          <w:p>
            <w:pPr>
              <w:pStyle w:val="TableContents"/>
              <w:bidi w:val="0"/>
              <w:spacing w:before="0" w:after="283"/>
              <w:ind w:left="0" w:right="0" w:hanging="180"/>
              <w:jc w:val="left"/>
              <w:rPr/>
            </w:pPr>
            <w:r>
              <w:rPr/>
              <w:t> </w:t>
            </w:r>
            <w:bookmarkStart w:id="166" w:name="xdx_407_eus-gaap--ProfitLoss_zlpea9QRNu3"/>
            <w:bookmarkEnd w:id="166"/>
          </w:p>
        </w:tc>
      </w:tr>
      <w:tr>
        <w:trPr/>
        <w:tc>
          <w:tcPr>
            <w:tcW w:w="345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(32,326,016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(32,326,016</w:t>
            </w:r>
          </w:p>
        </w:tc>
        <w:tc>
          <w:tcPr>
            <w:tcW w:w="111" w:type="dxa"/>
            <w:tcBorders/>
            <w:shd w:fill="FFFFFF" w:val="clear"/>
            <w:vAlign w:val="center"/>
          </w:tcPr>
          <w:p>
            <w:pPr>
              <w:pStyle w:val="TableContents"/>
              <w:bidi w:val="0"/>
              <w:spacing w:before="0" w:after="283"/>
              <w:ind w:left="0" w:right="0" w:hanging="180"/>
              <w:jc w:val="left"/>
              <w:rPr/>
            </w:pPr>
            <w:r>
              <w:rPr/>
              <w:t>)</w:t>
            </w:r>
            <w:bookmarkStart w:id="167" w:name="xdx_439_c20250401__20250630_eus-gaap--St"/>
            <w:bookmarkEnd w:id="167"/>
          </w:p>
        </w:tc>
      </w:tr>
      <w:tr>
        <w:trPr/>
        <w:tc>
          <w:tcPr>
            <w:tcW w:w="3457" w:type="dxa"/>
            <w:tcBorders/>
            <w:shd w:fill="CCEEFF" w:val="clear"/>
            <w:vAlign w:val="center"/>
          </w:tcPr>
          <w:p>
            <w:pPr>
              <w:pStyle w:val="TableContents"/>
              <w:bidi w:val="0"/>
              <w:spacing w:before="0" w:after="283"/>
              <w:jc w:val="left"/>
              <w:rPr>
                <w:b/>
              </w:rPr>
            </w:pPr>
            <w:r>
              <w:rPr>
                <w:b/>
              </w:rPr>
              <w:t>Balance -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8" w:name="xdx_98A_eus-gaap--SharesOutstanding_iS_c"/>
            <w:bookmarkEnd w:id="16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19,026,776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1,903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73,308,913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(82,934,461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(9,623,645</w:t>
            </w:r>
          </w:p>
        </w:tc>
        <w:tc>
          <w:tcPr>
            <w:tcW w:w="111" w:type="dxa"/>
            <w:tcBorders/>
            <w:shd w:fill="CCEEFF" w:val="clear"/>
            <w:vAlign w:val="center"/>
          </w:tcPr>
          <w:p>
            <w:pPr>
              <w:pStyle w:val="TableContents"/>
              <w:bidi w:val="0"/>
              <w:spacing w:before="0" w:after="283"/>
              <w:ind w:left="0" w:right="0" w:hanging="180"/>
              <w:jc w:val="left"/>
              <w:rPr/>
            </w:pPr>
            <w:r>
              <w:rPr/>
              <w:t>)</w:t>
            </w:r>
            <w:bookmarkStart w:id="169" w:name="xdx_40E_eus-gaap--AdjustmentsToAdditiona"/>
            <w:bookmarkEnd w:id="169"/>
          </w:p>
        </w:tc>
      </w:tr>
      <w:tr>
        <w:trPr/>
        <w:tc>
          <w:tcPr>
            <w:tcW w:w="3457"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3,526,076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3,526,076</w:t>
            </w:r>
          </w:p>
        </w:tc>
        <w:tc>
          <w:tcPr>
            <w:tcW w:w="111" w:type="dxa"/>
            <w:tcBorders/>
            <w:shd w:fill="FFFFFF" w:val="clear"/>
            <w:vAlign w:val="center"/>
          </w:tcPr>
          <w:p>
            <w:pPr>
              <w:pStyle w:val="TableContents"/>
              <w:bidi w:val="0"/>
              <w:spacing w:before="0" w:after="283"/>
              <w:ind w:left="0" w:right="0" w:hanging="180"/>
              <w:jc w:val="left"/>
              <w:rPr/>
            </w:pPr>
            <w:r>
              <w:rPr/>
              <w:t> </w:t>
            </w:r>
            <w:bookmarkStart w:id="170" w:name="xdx_407_ecustom--Other_zUmM50erDdph"/>
            <w:bookmarkEnd w:id="170"/>
          </w:p>
        </w:tc>
      </w:tr>
      <w:tr>
        <w:trPr/>
        <w:tc>
          <w:tcPr>
            <w:tcW w:w="3457"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(37,755</w:t>
            </w:r>
          </w:p>
        </w:tc>
        <w:tc>
          <w:tcPr>
            <w:tcW w:w="111" w:type="dxa"/>
            <w:tcBorders/>
            <w:shd w:fill="CCEEFF" w:val="clear"/>
            <w:vAlign w:val="center"/>
          </w:tcPr>
          <w:p>
            <w:pPr>
              <w:pStyle w:val="TableContents"/>
              <w:bidi w:val="0"/>
              <w:spacing w:before="0" w:after="283"/>
              <w:ind w:left="0" w:right="0" w:hanging="180"/>
              <w:jc w:val="left"/>
              <w:rPr/>
            </w:pPr>
            <w:r>
              <w:rPr/>
              <w:t>)</w:t>
            </w:r>
            <w:bookmarkStart w:id="171" w:name="xdx_40B_eus-gaap--ProfitLoss_zMTBRFWvkEM"/>
            <w:bookmarkEnd w:id="171"/>
          </w:p>
        </w:tc>
      </w:tr>
      <w:tr>
        <w:trPr/>
        <w:tc>
          <w:tcPr>
            <w:tcW w:w="345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(5,680,170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(5,680,170</w:t>
            </w:r>
          </w:p>
        </w:tc>
        <w:tc>
          <w:tcPr>
            <w:tcW w:w="111" w:type="dxa"/>
            <w:tcBorders/>
            <w:shd w:fill="FFFFFF" w:val="clear"/>
            <w:vAlign w:val="center"/>
          </w:tcPr>
          <w:p>
            <w:pPr>
              <w:pStyle w:val="TableContents"/>
              <w:bidi w:val="0"/>
              <w:spacing w:before="0" w:after="283"/>
              <w:ind w:left="0" w:right="0" w:hanging="180"/>
              <w:jc w:val="left"/>
              <w:rPr/>
            </w:pPr>
            <w:r>
              <w:rPr/>
              <w:t>)</w:t>
            </w:r>
            <w:bookmarkStart w:id="172" w:name="xdx_43A_c20250701__20250930_eus-gaap--St"/>
            <w:bookmarkEnd w:id="172"/>
          </w:p>
        </w:tc>
      </w:tr>
      <w:tr>
        <w:trPr/>
        <w:tc>
          <w:tcPr>
            <w:tcW w:w="3457" w:type="dxa"/>
            <w:tcBorders/>
            <w:shd w:fill="CCEEFF" w:val="clear"/>
            <w:vAlign w:val="center"/>
          </w:tcPr>
          <w:p>
            <w:pPr>
              <w:pStyle w:val="TableContents"/>
              <w:bidi w:val="0"/>
              <w:spacing w:before="0" w:after="283"/>
              <w:jc w:val="left"/>
              <w:rPr>
                <w:b/>
              </w:rPr>
            </w:pPr>
            <w:r>
              <w:rPr>
                <w:b/>
              </w:rPr>
              <w:t>Balance -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3" w:name="xdx_989_eus-gaap--SharesOutstanding_iS_c"/>
            <w:bookmarkEnd w:id="17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19,026,776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1,903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76,797,234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(88,614,631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(11,815,494</w:t>
            </w:r>
          </w:p>
        </w:tc>
        <w:tc>
          <w:tcPr>
            <w:tcW w:w="111" w:type="dxa"/>
            <w:tcBorders/>
            <w:shd w:fill="CCEEFF" w:val="clear"/>
            <w:vAlign w:val="center"/>
          </w:tcPr>
          <w:p>
            <w:pPr>
              <w:pStyle w:val="TableContents"/>
              <w:bidi w:val="0"/>
              <w:spacing w:before="0" w:after="283"/>
              <w:ind w:left="0" w:right="0" w:hanging="180"/>
              <w:jc w:val="left"/>
              <w:rPr/>
            </w:pPr>
            <w:r>
              <w:rPr/>
              <w:t>)</w:t>
            </w:r>
            <w:bookmarkStart w:id="174" w:name="xdx_40C_eus-gaap--AdjustmentsToAdditiona"/>
            <w:bookmarkEnd w:id="174"/>
          </w:p>
        </w:tc>
      </w:tr>
      <w:tr>
        <w:trPr/>
        <w:tc>
          <w:tcPr>
            <w:tcW w:w="3457"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5,040,246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5,040,246</w:t>
            </w:r>
          </w:p>
        </w:tc>
        <w:tc>
          <w:tcPr>
            <w:tcW w:w="111" w:type="dxa"/>
            <w:tcBorders/>
            <w:shd w:fill="FFFFFF" w:val="clear"/>
            <w:vAlign w:val="center"/>
          </w:tcPr>
          <w:p>
            <w:pPr>
              <w:pStyle w:val="TableContents"/>
              <w:bidi w:val="0"/>
              <w:spacing w:before="0" w:after="283"/>
              <w:ind w:left="0" w:right="0" w:hanging="180"/>
              <w:jc w:val="left"/>
              <w:rPr/>
            </w:pPr>
            <w:r>
              <w:rPr/>
              <w:t> </w:t>
            </w:r>
            <w:bookmarkStart w:id="175" w:name="xdx_40D_ecustom--ProceedsFromSaleOfCommo"/>
            <w:bookmarkEnd w:id="175"/>
          </w:p>
        </w:tc>
      </w:tr>
      <w:tr>
        <w:trPr/>
        <w:tc>
          <w:tcPr>
            <w:tcW w:w="3457" w:type="dxa"/>
            <w:tcBorders/>
            <w:shd w:fill="CCEEFF" w:val="clear"/>
            <w:vAlign w:val="center"/>
          </w:tcPr>
          <w:p>
            <w:pPr>
              <w:pStyle w:val="TableContents"/>
              <w:bidi w:val="0"/>
              <w:spacing w:before="0" w:after="283"/>
              <w:jc w:val="left"/>
              <w:rPr/>
            </w:pPr>
            <w:r>
              <w:rPr/>
              <w:t>Proceeds from sale of common stock pursuant to equity line of credit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3_ecustom--ProceedsFromSaleOfCommo"/>
            <w:bookmarkEnd w:id="176"/>
          </w:p>
        </w:tc>
        <w:tc>
          <w:tcPr>
            <w:tcW w:w="1100" w:type="dxa"/>
            <w:tcBorders/>
            <w:shd w:fill="CCEEFF" w:val="clear"/>
            <w:vAlign w:val="center"/>
          </w:tcPr>
          <w:p>
            <w:pPr>
              <w:pStyle w:val="TableContents"/>
              <w:bidi w:val="0"/>
              <w:spacing w:before="0" w:after="283"/>
              <w:jc w:val="right"/>
              <w:rPr/>
            </w:pPr>
            <w:r>
              <w:rPr/>
              <w:t>447,527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3,576,853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3,576,898</w:t>
            </w:r>
          </w:p>
        </w:tc>
        <w:tc>
          <w:tcPr>
            <w:tcW w:w="111" w:type="dxa"/>
            <w:tcBorders/>
            <w:shd w:fill="CCEEFF" w:val="clear"/>
            <w:vAlign w:val="center"/>
          </w:tcPr>
          <w:p>
            <w:pPr>
              <w:pStyle w:val="TableContents"/>
              <w:bidi w:val="0"/>
              <w:spacing w:before="0" w:after="283"/>
              <w:ind w:left="0" w:right="0" w:hanging="180"/>
              <w:jc w:val="left"/>
              <w:rPr/>
            </w:pPr>
            <w:r>
              <w:rPr/>
              <w:t> </w:t>
            </w:r>
            <w:bookmarkStart w:id="177" w:name="xdx_405_eus-gaap--ProfitLoss_zZ22QfAPeVz"/>
            <w:bookmarkEnd w:id="177"/>
          </w:p>
        </w:tc>
      </w:tr>
      <w:tr>
        <w:trPr/>
        <w:tc>
          <w:tcPr>
            <w:tcW w:w="345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(8,615,920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(8,615,920</w:t>
            </w:r>
          </w:p>
        </w:tc>
        <w:tc>
          <w:tcPr>
            <w:tcW w:w="111" w:type="dxa"/>
            <w:tcBorders/>
            <w:shd w:fill="FFFFFF" w:val="clear"/>
            <w:vAlign w:val="center"/>
          </w:tcPr>
          <w:p>
            <w:pPr>
              <w:pStyle w:val="TableContents"/>
              <w:bidi w:val="0"/>
              <w:spacing w:before="0" w:after="283"/>
              <w:ind w:left="0" w:right="0" w:hanging="180"/>
              <w:jc w:val="left"/>
              <w:rPr/>
            </w:pPr>
            <w:r>
              <w:rPr/>
              <w:t>)</w:t>
            </w:r>
            <w:bookmarkStart w:id="178" w:name="xdx_433_c20250701__20250930_eus-gaap--St"/>
            <w:bookmarkEnd w:id="178"/>
          </w:p>
        </w:tc>
      </w:tr>
      <w:tr>
        <w:trPr/>
        <w:tc>
          <w:tcPr>
            <w:tcW w:w="3457" w:type="dxa"/>
            <w:tcBorders/>
            <w:shd w:fill="CCEEFF" w:val="clear"/>
            <w:vAlign w:val="center"/>
          </w:tcPr>
          <w:p>
            <w:pPr>
              <w:pStyle w:val="TableContents"/>
              <w:bidi w:val="0"/>
              <w:spacing w:before="0" w:after="283"/>
              <w:jc w:val="left"/>
              <w:rPr>
                <w:b/>
              </w:rPr>
            </w:pPr>
            <w:r>
              <w:rPr>
                <w:b/>
              </w:rPr>
              <w:t>Balance -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9" w:name="xdx_98E_eus-gaap--SharesOutstanding_iE_c"/>
            <w:bookmarkEnd w:id="17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19,474,303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1,948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85,414,333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(97,230,551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(11,814,270</w:t>
            </w:r>
          </w:p>
        </w:tc>
        <w:tc>
          <w:tcPr>
            <w:tcW w:w="111"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80" w:name="a_006"/>
      <w:bookmarkEnd w:id="180"/>
      <w:r>
        <w:rPr>
          <w:rFonts w:ascii="Times New Roman;Times;Serif" w:hAnsi="Times New Roman;Times;Serif"/>
          <w:b/>
          <w:i w:val="false"/>
          <w:caps w:val="false"/>
          <w:smallCaps w:val="false"/>
          <w:sz w:val="20"/>
        </w:rPr>
        <w:t>NEONC TECHNOLOGIES HOLDINGS, INC.</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1" w:name="xdx_30F_112_z2eMBVx7JuId"/>
      <w:bookmarkStart w:id="182" w:name="xdx_30F_112_z2eMBVx7JuId"/>
      <w:bookmarkEnd w:id="182"/>
    </w:p>
    <w:tbl>
      <w:tblPr>
        <w:tblW w:w="10205" w:type="dxa"/>
        <w:jc w:val="left"/>
        <w:tblInd w:w="0" w:type="dxa"/>
        <w:tblLayout w:type="fixed"/>
        <w:tblCellMar>
          <w:top w:w="0" w:type="dxa"/>
          <w:left w:w="0" w:type="dxa"/>
          <w:bottom w:w="0" w:type="dxa"/>
          <w:right w:w="0" w:type="dxa"/>
        </w:tblCellMar>
      </w:tblPr>
      <w:tblGrid>
        <w:gridCol w:w="7341"/>
        <w:gridCol w:w="60"/>
        <w:gridCol w:w="140"/>
        <w:gridCol w:w="1175"/>
        <w:gridCol w:w="95"/>
        <w:gridCol w:w="60"/>
        <w:gridCol w:w="140"/>
        <w:gridCol w:w="1100"/>
        <w:gridCol w:w="94"/>
      </w:tblGrid>
      <w:tr>
        <w:trPr/>
        <w:tc>
          <w:tcPr>
            <w:tcW w:w="7341"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83" w:name="xdx_492_20250101__20250930_zSfP2m2AJDJb"/>
            <w:bookmarkEnd w:id="183"/>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84" w:name="xdx_490_20240101__20240930_zwfbJO9mZA58"/>
            <w:bookmarkEnd w:id="184"/>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r>
      <w:tr>
        <w:trPr/>
        <w:tc>
          <w:tcPr>
            <w:tcW w:w="7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Nine Months Ended</w:t>
              <w:br/>
              <w:t>September 30,</w:t>
            </w:r>
          </w:p>
        </w:tc>
        <w:tc>
          <w:tcPr>
            <w:tcW w:w="94" w:type="dxa"/>
            <w:tcBorders/>
            <w:vAlign w:val="center"/>
          </w:tcPr>
          <w:p>
            <w:pPr>
              <w:pStyle w:val="TableContents"/>
              <w:bidi w:val="0"/>
              <w:spacing w:before="0" w:after="283"/>
              <w:ind w:left="0" w:right="0" w:hanging="180"/>
              <w:jc w:val="center"/>
              <w:rPr/>
            </w:pPr>
            <w:r>
              <w:rPr/>
              <w:t> </w:t>
            </w:r>
          </w:p>
        </w:tc>
      </w:tr>
      <w:tr>
        <w:trPr/>
        <w:tc>
          <w:tcPr>
            <w:tcW w:w="7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4" w:type="dxa"/>
            <w:tcBorders/>
            <w:vAlign w:val="center"/>
          </w:tcPr>
          <w:p>
            <w:pPr>
              <w:pStyle w:val="TableContents"/>
              <w:bidi w:val="0"/>
              <w:spacing w:before="0" w:after="283"/>
              <w:ind w:left="0" w:right="0" w:hanging="180"/>
              <w:jc w:val="center"/>
              <w:rPr/>
            </w:pPr>
            <w:r>
              <w:rPr/>
              <w:t> </w:t>
            </w:r>
            <w:bookmarkStart w:id="185" w:name="xdx_40D_eus-gaap--NetCashProvidedByUsedI"/>
            <w:bookmarkEnd w:id="185"/>
          </w:p>
        </w:tc>
      </w:tr>
      <w:tr>
        <w:trPr/>
        <w:tc>
          <w:tcPr>
            <w:tcW w:w="7341"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bookmarkStart w:id="186" w:name="xdx_402_eus-gaap--NetIncomeLoss_i01_maCz"/>
            <w:bookmarkEnd w:id="186"/>
          </w:p>
        </w:tc>
      </w:tr>
      <w:tr>
        <w:trPr/>
        <w:tc>
          <w:tcPr>
            <w:tcW w:w="734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(46,622,106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(9,645,482</w:t>
            </w:r>
          </w:p>
        </w:tc>
        <w:tc>
          <w:tcPr>
            <w:tcW w:w="94" w:type="dxa"/>
            <w:tcBorders/>
            <w:shd w:fill="FFFFFF" w:val="clear"/>
            <w:vAlign w:val="center"/>
          </w:tcPr>
          <w:p>
            <w:pPr>
              <w:pStyle w:val="TableContents"/>
              <w:bidi w:val="0"/>
              <w:spacing w:before="0" w:after="283"/>
              <w:ind w:left="0" w:right="0" w:hanging="180"/>
              <w:jc w:val="left"/>
              <w:rPr/>
            </w:pPr>
            <w:r>
              <w:rPr/>
              <w:t>)</w:t>
            </w:r>
            <w:bookmarkStart w:id="187" w:name="xdx_400_eus-gaap--AdjustmentsToReconcile"/>
            <w:bookmarkEnd w:id="187"/>
          </w:p>
        </w:tc>
      </w:tr>
      <w:tr>
        <w:trPr/>
        <w:tc>
          <w:tcPr>
            <w:tcW w:w="7341"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bookmarkStart w:id="188" w:name="xdx_40E_ecustom--IncreaseInBridgeLoanExp"/>
            <w:bookmarkEnd w:id="188"/>
          </w:p>
        </w:tc>
      </w:tr>
      <w:tr>
        <w:trPr/>
        <w:tc>
          <w:tcPr>
            <w:tcW w:w="7341" w:type="dxa"/>
            <w:tcBorders/>
            <w:shd w:fill="FFFFFF" w:val="clear"/>
            <w:vAlign w:val="center"/>
          </w:tcPr>
          <w:p>
            <w:pPr>
              <w:pStyle w:val="TableContents"/>
              <w:bidi w:val="0"/>
              <w:spacing w:before="0" w:after="283"/>
              <w:jc w:val="left"/>
              <w:rPr/>
            </w:pPr>
            <w:r>
              <w:rPr/>
              <w:t>Increase in bridge loan - expenses paid by bridge loan provider on behalf of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476,393</w:t>
            </w:r>
          </w:p>
        </w:tc>
        <w:tc>
          <w:tcPr>
            <w:tcW w:w="94" w:type="dxa"/>
            <w:tcBorders/>
            <w:shd w:fill="FFFFFF" w:val="clear"/>
            <w:vAlign w:val="center"/>
          </w:tcPr>
          <w:p>
            <w:pPr>
              <w:pStyle w:val="TableContents"/>
              <w:bidi w:val="0"/>
              <w:spacing w:before="0" w:after="283"/>
              <w:ind w:left="0" w:right="0" w:hanging="180"/>
              <w:jc w:val="left"/>
              <w:rPr/>
            </w:pPr>
            <w:r>
              <w:rPr/>
              <w:t> </w:t>
            </w:r>
            <w:bookmarkStart w:id="189" w:name="xdx_408_ecustom--AccretionOfOriginalIssu"/>
            <w:bookmarkEnd w:id="189"/>
          </w:p>
        </w:tc>
      </w:tr>
      <w:tr>
        <w:trPr/>
        <w:tc>
          <w:tcPr>
            <w:tcW w:w="7341" w:type="dxa"/>
            <w:tcBorders/>
            <w:shd w:fill="CCEEFF" w:val="clear"/>
            <w:vAlign w:val="center"/>
          </w:tcPr>
          <w:p>
            <w:pPr>
              <w:pStyle w:val="TableContents"/>
              <w:bidi w:val="0"/>
              <w:spacing w:before="0" w:after="283"/>
              <w:jc w:val="left"/>
              <w:rPr/>
            </w:pPr>
            <w:r>
              <w:rPr/>
              <w:t>Accretion of original issue discount on bridge loans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2,558,241</w:t>
            </w:r>
          </w:p>
        </w:tc>
        <w:tc>
          <w:tcPr>
            <w:tcW w:w="94" w:type="dxa"/>
            <w:tcBorders/>
            <w:shd w:fill="CCEEFF" w:val="clear"/>
            <w:vAlign w:val="center"/>
          </w:tcPr>
          <w:p>
            <w:pPr>
              <w:pStyle w:val="TableContents"/>
              <w:bidi w:val="0"/>
              <w:spacing w:before="0" w:after="283"/>
              <w:ind w:left="0" w:right="0" w:hanging="180"/>
              <w:jc w:val="left"/>
              <w:rPr/>
            </w:pPr>
            <w:r>
              <w:rPr/>
              <w:t> </w:t>
            </w:r>
            <w:bookmarkStart w:id="190" w:name="xdx_40B_ecustom--AccretionOfOriginalIssu"/>
            <w:bookmarkEnd w:id="190"/>
          </w:p>
        </w:tc>
      </w:tr>
      <w:tr>
        <w:trPr/>
        <w:tc>
          <w:tcPr>
            <w:tcW w:w="7341" w:type="dxa"/>
            <w:tcBorders/>
            <w:shd w:fill="FFFFFF" w:val="clear"/>
            <w:vAlign w:val="center"/>
          </w:tcPr>
          <w:p>
            <w:pPr>
              <w:pStyle w:val="TableContents"/>
              <w:bidi w:val="0"/>
              <w:spacing w:before="0" w:after="283"/>
              <w:jc w:val="left"/>
              <w:rPr/>
            </w:pPr>
            <w:r>
              <w:rPr/>
              <w:t>Accretion of original issue discount on convertible promissory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820,794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bookmarkStart w:id="191" w:name="xdx_40D_eus-gaap--WriteOffOfDeferredDebt"/>
            <w:bookmarkEnd w:id="191"/>
          </w:p>
        </w:tc>
      </w:tr>
      <w:tr>
        <w:trPr/>
        <w:tc>
          <w:tcPr>
            <w:tcW w:w="7341" w:type="dxa"/>
            <w:tcBorders/>
            <w:shd w:fill="CCEEFF" w:val="clear"/>
            <w:vAlign w:val="center"/>
          </w:tcPr>
          <w:p>
            <w:pPr>
              <w:pStyle w:val="TableContents"/>
              <w:bidi w:val="0"/>
              <w:spacing w:before="0" w:after="283"/>
              <w:jc w:val="left"/>
              <w:rPr/>
            </w:pPr>
            <w:r>
              <w:rPr/>
              <w:t>Write off deferred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703,796</w:t>
            </w:r>
          </w:p>
        </w:tc>
        <w:tc>
          <w:tcPr>
            <w:tcW w:w="94" w:type="dxa"/>
            <w:tcBorders/>
            <w:shd w:fill="CCEEFF" w:val="clear"/>
            <w:vAlign w:val="center"/>
          </w:tcPr>
          <w:p>
            <w:pPr>
              <w:pStyle w:val="TableContents"/>
              <w:bidi w:val="0"/>
              <w:spacing w:before="0" w:after="283"/>
              <w:ind w:left="0" w:right="0" w:hanging="180"/>
              <w:jc w:val="left"/>
              <w:rPr/>
            </w:pPr>
            <w:r>
              <w:rPr/>
              <w:t> </w:t>
            </w:r>
            <w:bookmarkStart w:id="192" w:name="xdx_405_eus-gaap--ShareBasedCompensation"/>
            <w:bookmarkEnd w:id="192"/>
          </w:p>
        </w:tc>
      </w:tr>
      <w:tr>
        <w:trPr/>
        <w:tc>
          <w:tcPr>
            <w:tcW w:w="7341" w:type="dxa"/>
            <w:tcBorders/>
            <w:shd w:fill="FFFFFF" w:val="clear"/>
            <w:vAlign w:val="center"/>
          </w:tcPr>
          <w:p>
            <w:pPr>
              <w:pStyle w:val="TableContents"/>
              <w:bidi w:val="0"/>
              <w:spacing w:before="0" w:after="283"/>
              <w:jc w:val="left"/>
              <w:rPr/>
            </w:pPr>
            <w:r>
              <w:rPr/>
              <w:t>Share based compensation - restricted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25,964,096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bookmarkStart w:id="193" w:name="xdx_401_ecustom--LossOnExtinguishmentOfB"/>
            <w:bookmarkEnd w:id="193"/>
          </w:p>
        </w:tc>
      </w:tr>
      <w:tr>
        <w:trPr/>
        <w:tc>
          <w:tcPr>
            <w:tcW w:w="7341" w:type="dxa"/>
            <w:tcBorders/>
            <w:shd w:fill="CCEEFF" w:val="clear"/>
            <w:vAlign w:val="center"/>
          </w:tcPr>
          <w:p>
            <w:pPr>
              <w:pStyle w:val="TableContents"/>
              <w:bidi w:val="0"/>
              <w:spacing w:before="0" w:after="283"/>
              <w:jc w:val="left"/>
              <w:rPr/>
            </w:pPr>
            <w:r>
              <w:rPr/>
              <w:t>Loss on extinguishment of bridge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2,069,923</w:t>
            </w:r>
          </w:p>
        </w:tc>
        <w:tc>
          <w:tcPr>
            <w:tcW w:w="94" w:type="dxa"/>
            <w:tcBorders/>
            <w:shd w:fill="CCEEFF" w:val="clear"/>
            <w:vAlign w:val="center"/>
          </w:tcPr>
          <w:p>
            <w:pPr>
              <w:pStyle w:val="TableContents"/>
              <w:bidi w:val="0"/>
              <w:spacing w:before="0" w:after="283"/>
              <w:ind w:left="0" w:right="0" w:hanging="180"/>
              <w:jc w:val="left"/>
              <w:rPr/>
            </w:pPr>
            <w:r>
              <w:rPr/>
              <w:t> </w:t>
            </w:r>
            <w:bookmarkStart w:id="194" w:name="xdx_40F_eus-gaap--DerivativeLossOnDeriva"/>
            <w:bookmarkEnd w:id="194"/>
          </w:p>
        </w:tc>
      </w:tr>
      <w:tr>
        <w:trPr/>
        <w:tc>
          <w:tcPr>
            <w:tcW w:w="7341" w:type="dxa"/>
            <w:tcBorders/>
            <w:shd w:fill="FFFFFF" w:val="clear"/>
            <w:vAlign w:val="center"/>
          </w:tcPr>
          <w:p>
            <w:pPr>
              <w:pStyle w:val="TableContents"/>
              <w:bidi w:val="0"/>
              <w:spacing w:before="0" w:after="283"/>
              <w:jc w:val="left"/>
              <w:rPr/>
            </w:pPr>
            <w:r>
              <w:rPr/>
              <w:t>Loss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380,162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bookmarkStart w:id="195" w:name="xdx_407_eus-gaap--AmortizationOfFinancin"/>
            <w:bookmarkEnd w:id="195"/>
          </w:p>
        </w:tc>
      </w:tr>
      <w:tr>
        <w:trPr/>
        <w:tc>
          <w:tcPr>
            <w:tcW w:w="7341" w:type="dxa"/>
            <w:tcBorders/>
            <w:shd w:fill="CCEEFF" w:val="clear"/>
            <w:vAlign w:val="center"/>
          </w:tcPr>
          <w:p>
            <w:pPr>
              <w:pStyle w:val="TableContents"/>
              <w:bidi w:val="0"/>
              <w:spacing w:before="0" w:after="283"/>
              <w:jc w:val="left"/>
              <w:rPr/>
            </w:pPr>
            <w:r>
              <w:rPr/>
              <w:t>Amortization of debt issuance costs and 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1,161,311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180"/>
              <w:jc w:val="left"/>
              <w:rPr/>
            </w:pPr>
            <w:r>
              <w:rPr/>
              <w:t> </w:t>
            </w:r>
            <w:bookmarkStart w:id="196" w:name="xdx_409_eus-gaap--FinanceLeaseRightOfUse"/>
            <w:bookmarkEnd w:id="196"/>
          </w:p>
        </w:tc>
      </w:tr>
      <w:tr>
        <w:trPr/>
        <w:tc>
          <w:tcPr>
            <w:tcW w:w="7341"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178,869</w:t>
            </w:r>
          </w:p>
        </w:tc>
        <w:tc>
          <w:tcPr>
            <w:tcW w:w="94" w:type="dxa"/>
            <w:tcBorders/>
            <w:shd w:fill="FFFFFF" w:val="clear"/>
            <w:vAlign w:val="center"/>
          </w:tcPr>
          <w:p>
            <w:pPr>
              <w:pStyle w:val="TableContents"/>
              <w:bidi w:val="0"/>
              <w:spacing w:before="0" w:after="283"/>
              <w:ind w:left="0" w:right="0" w:hanging="180"/>
              <w:jc w:val="left"/>
              <w:rPr/>
            </w:pPr>
            <w:r>
              <w:rPr/>
              <w:t> </w:t>
            </w:r>
            <w:bookmarkStart w:id="197" w:name="xdx_40F_eus-gaap--IncreaseDecreaseInOper"/>
            <w:bookmarkEnd w:id="197"/>
          </w:p>
        </w:tc>
      </w:tr>
      <w:tr>
        <w:trPr/>
        <w:tc>
          <w:tcPr>
            <w:tcW w:w="7341"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bookmarkStart w:id="198" w:name="xdx_407_eus-gaap--IncreaseDecreaseInPrep"/>
            <w:bookmarkEnd w:id="198"/>
          </w:p>
        </w:tc>
      </w:tr>
      <w:tr>
        <w:trPr/>
        <w:tc>
          <w:tcPr>
            <w:tcW w:w="7341"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(267,160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(335,916</w:t>
            </w:r>
          </w:p>
        </w:tc>
        <w:tc>
          <w:tcPr>
            <w:tcW w:w="94" w:type="dxa"/>
            <w:tcBorders/>
            <w:shd w:fill="FFFFFF" w:val="clear"/>
            <w:vAlign w:val="center"/>
          </w:tcPr>
          <w:p>
            <w:pPr>
              <w:pStyle w:val="TableContents"/>
              <w:bidi w:val="0"/>
              <w:spacing w:before="0" w:after="283"/>
              <w:ind w:left="0" w:right="0" w:hanging="180"/>
              <w:jc w:val="left"/>
              <w:rPr/>
            </w:pPr>
            <w:r>
              <w:rPr/>
              <w:t>)</w:t>
            </w:r>
            <w:bookmarkStart w:id="199" w:name="xdx_40F_eus-gaap--IncreaseDecreaseInOthe"/>
            <w:bookmarkEnd w:id="199"/>
          </w:p>
        </w:tc>
      </w:tr>
      <w:tr>
        <w:trPr/>
        <w:tc>
          <w:tcPr>
            <w:tcW w:w="7341"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180"/>
              <w:jc w:val="left"/>
              <w:rPr/>
            </w:pPr>
            <w:r>
              <w:rPr/>
              <w:t> </w:t>
            </w:r>
            <w:bookmarkStart w:id="200" w:name="xdx_407_eus-gaap--IncreaseDecreaseInDefe"/>
            <w:bookmarkEnd w:id="200"/>
          </w:p>
        </w:tc>
      </w:tr>
      <w:tr>
        <w:trPr/>
        <w:tc>
          <w:tcPr>
            <w:tcW w:w="7341" w:type="dxa"/>
            <w:tcBorders/>
            <w:shd w:fill="FFFFFF" w:val="clear"/>
            <w:vAlign w:val="center"/>
          </w:tcPr>
          <w:p>
            <w:pPr>
              <w:pStyle w:val="TableContents"/>
              <w:bidi w:val="0"/>
              <w:spacing w:before="0" w:after="283"/>
              <w:jc w:val="left"/>
              <w:rPr/>
            </w:pPr>
            <w:r>
              <w:rPr/>
              <w:t>Accrued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(479,775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(58,127</w:t>
            </w:r>
          </w:p>
        </w:tc>
        <w:tc>
          <w:tcPr>
            <w:tcW w:w="94" w:type="dxa"/>
            <w:tcBorders/>
            <w:shd w:fill="FFFFFF" w:val="clear"/>
            <w:vAlign w:val="center"/>
          </w:tcPr>
          <w:p>
            <w:pPr>
              <w:pStyle w:val="TableContents"/>
              <w:bidi w:val="0"/>
              <w:spacing w:before="0" w:after="283"/>
              <w:ind w:left="0" w:right="0" w:hanging="180"/>
              <w:jc w:val="left"/>
              <w:rPr/>
            </w:pPr>
            <w:r>
              <w:rPr/>
              <w:t>)</w:t>
            </w:r>
            <w:bookmarkStart w:id="201" w:name="xdx_400_eus-gaap--IncreaseDecreaseInOper"/>
            <w:bookmarkEnd w:id="201"/>
          </w:p>
        </w:tc>
      </w:tr>
      <w:tr>
        <w:trPr/>
        <w:tc>
          <w:tcPr>
            <w:tcW w:w="7341"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(164,371</w:t>
            </w:r>
          </w:p>
        </w:tc>
        <w:tc>
          <w:tcPr>
            <w:tcW w:w="94" w:type="dxa"/>
            <w:tcBorders/>
            <w:shd w:fill="CCEEFF" w:val="clear"/>
            <w:vAlign w:val="center"/>
          </w:tcPr>
          <w:p>
            <w:pPr>
              <w:pStyle w:val="TableContents"/>
              <w:bidi w:val="0"/>
              <w:spacing w:before="0" w:after="283"/>
              <w:ind w:left="0" w:right="0" w:hanging="180"/>
              <w:jc w:val="left"/>
              <w:rPr/>
            </w:pPr>
            <w:r>
              <w:rPr/>
              <w:t>)</w:t>
            </w:r>
            <w:bookmarkStart w:id="202" w:name="xdx_401_ecustom--IncreaseDecreaseInAccru"/>
            <w:bookmarkEnd w:id="202"/>
          </w:p>
        </w:tc>
      </w:tr>
      <w:tr>
        <w:trPr/>
        <w:tc>
          <w:tcPr>
            <w:tcW w:w="7341" w:type="dxa"/>
            <w:tcBorders/>
            <w:shd w:fill="FFFFFF" w:val="clear"/>
            <w:vAlign w:val="center"/>
          </w:tcPr>
          <w:p>
            <w:pPr>
              <w:pStyle w:val="TableContents"/>
              <w:bidi w:val="0"/>
              <w:spacing w:before="0" w:after="283"/>
              <w:jc w:val="left"/>
              <w:rPr/>
            </w:pPr>
            <w:r>
              <w:rPr/>
              <w:t>Accrued advisory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3,675,569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bookmarkStart w:id="203" w:name="xdx_401_eus-gaap--IncreaseDecreaseInAcco"/>
            <w:bookmarkEnd w:id="203"/>
          </w:p>
        </w:tc>
      </w:tr>
      <w:tr>
        <w:trPr/>
        <w:tc>
          <w:tcPr>
            <w:tcW w:w="7341" w:type="dxa"/>
            <w:tcBorders/>
            <w:shd w:fill="CCEEFF" w:val="clear"/>
            <w:vAlign w:val="center"/>
          </w:tcPr>
          <w:p>
            <w:pPr>
              <w:pStyle w:val="TableContents"/>
              <w:bidi w:val="0"/>
              <w:spacing w:before="0" w:after="283"/>
              <w:jc w:val="left"/>
              <w:rPr/>
            </w:pPr>
            <w:r>
              <w:rPr/>
              <w:t>Accounts payable and accounts payable - related parties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(1,657,722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957,162</w:t>
            </w:r>
          </w:p>
        </w:tc>
        <w:tc>
          <w:tcPr>
            <w:tcW w:w="94" w:type="dxa"/>
            <w:tcBorders/>
            <w:shd w:fill="CCEEFF" w:val="clear"/>
            <w:vAlign w:val="center"/>
          </w:tcPr>
          <w:p>
            <w:pPr>
              <w:pStyle w:val="TableContents"/>
              <w:bidi w:val="0"/>
              <w:spacing w:before="0" w:after="283"/>
              <w:ind w:left="0" w:right="0" w:hanging="180"/>
              <w:jc w:val="left"/>
              <w:rPr/>
            </w:pPr>
            <w:r>
              <w:rPr/>
              <w:t> </w:t>
            </w:r>
            <w:bookmarkStart w:id="204" w:name="xdx_40D_eus-gaap--NetCashProvidedByUsedI"/>
            <w:bookmarkEnd w:id="204"/>
          </w:p>
        </w:tc>
      </w:tr>
      <w:tr>
        <w:trPr/>
        <w:tc>
          <w:tcPr>
            <w:tcW w:w="7341"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(16,772,777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(3,259,512</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73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bookmarkStart w:id="205" w:name="xdx_40D_eus-gaap--NetCashProvidedByUsedI"/>
            <w:bookmarkEnd w:id="205"/>
          </w:p>
        </w:tc>
      </w:tr>
      <w:tr>
        <w:trPr/>
        <w:tc>
          <w:tcPr>
            <w:tcW w:w="7341"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bookmarkStart w:id="206" w:name="xdx_407_eus-gaap--ProceedsFromIssuanceOr"/>
            <w:bookmarkEnd w:id="206"/>
          </w:p>
        </w:tc>
      </w:tr>
      <w:tr>
        <w:trPr/>
        <w:tc>
          <w:tcPr>
            <w:tcW w:w="7341" w:type="dxa"/>
            <w:tcBorders/>
            <w:shd w:fill="CCEEFF" w:val="clear"/>
            <w:vAlign w:val="center"/>
          </w:tcPr>
          <w:p>
            <w:pPr>
              <w:pStyle w:val="TableContents"/>
              <w:bidi w:val="0"/>
              <w:spacing w:before="0" w:after="283"/>
              <w:jc w:val="left"/>
              <w:rPr/>
            </w:pPr>
            <w:r>
              <w:rPr/>
              <w:t>Proceeds from the sale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11,324,372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4,615,789</w:t>
            </w:r>
          </w:p>
        </w:tc>
        <w:tc>
          <w:tcPr>
            <w:tcW w:w="94" w:type="dxa"/>
            <w:tcBorders/>
            <w:shd w:fill="CCEEFF" w:val="clear"/>
            <w:vAlign w:val="center"/>
          </w:tcPr>
          <w:p>
            <w:pPr>
              <w:pStyle w:val="TableContents"/>
              <w:bidi w:val="0"/>
              <w:spacing w:before="0" w:after="283"/>
              <w:ind w:left="0" w:right="0" w:hanging="180"/>
              <w:jc w:val="left"/>
              <w:rPr/>
            </w:pPr>
            <w:r>
              <w:rPr/>
              <w:t> </w:t>
            </w:r>
            <w:bookmarkStart w:id="207" w:name="xdx_404_eus-gaap--ProceedsFromRelatedPar"/>
            <w:bookmarkEnd w:id="207"/>
          </w:p>
        </w:tc>
      </w:tr>
      <w:tr>
        <w:trPr/>
        <w:tc>
          <w:tcPr>
            <w:tcW w:w="7341" w:type="dxa"/>
            <w:tcBorders/>
            <w:shd w:fill="FFFFFF" w:val="clear"/>
            <w:vAlign w:val="center"/>
          </w:tcPr>
          <w:p>
            <w:pPr>
              <w:pStyle w:val="TableContents"/>
              <w:bidi w:val="0"/>
              <w:spacing w:before="0" w:after="283"/>
              <w:jc w:val="left"/>
              <w:rPr/>
            </w:pPr>
            <w:r>
              <w:rPr/>
              <w:t>Proceeds from related party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892,028</w:t>
            </w:r>
          </w:p>
        </w:tc>
        <w:tc>
          <w:tcPr>
            <w:tcW w:w="94" w:type="dxa"/>
            <w:tcBorders/>
            <w:shd w:fill="FFFFFF" w:val="clear"/>
            <w:vAlign w:val="center"/>
          </w:tcPr>
          <w:p>
            <w:pPr>
              <w:pStyle w:val="TableContents"/>
              <w:bidi w:val="0"/>
              <w:spacing w:before="0" w:after="283"/>
              <w:ind w:left="0" w:right="0" w:hanging="180"/>
              <w:jc w:val="left"/>
              <w:rPr/>
            </w:pPr>
            <w:r>
              <w:rPr/>
              <w:t> </w:t>
            </w:r>
            <w:bookmarkStart w:id="208" w:name="xdx_405_eus-gaap--RepaymentsOfRelatedPar"/>
            <w:bookmarkEnd w:id="208"/>
          </w:p>
        </w:tc>
      </w:tr>
      <w:tr>
        <w:trPr/>
        <w:tc>
          <w:tcPr>
            <w:tcW w:w="7341" w:type="dxa"/>
            <w:tcBorders/>
            <w:shd w:fill="CCEEFF" w:val="clear"/>
            <w:vAlign w:val="center"/>
          </w:tcPr>
          <w:p>
            <w:pPr>
              <w:pStyle w:val="TableContents"/>
              <w:bidi w:val="0"/>
              <w:spacing w:before="0" w:after="283"/>
              <w:jc w:val="left"/>
              <w:rPr/>
            </w:pPr>
            <w:r>
              <w:rPr/>
              <w:t>Repayment of related party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(791,077</w:t>
            </w:r>
          </w:p>
        </w:tc>
        <w:tc>
          <w:tcPr>
            <w:tcW w:w="94" w:type="dxa"/>
            <w:tcBorders/>
            <w:shd w:fill="CCEEFF" w:val="clear"/>
            <w:vAlign w:val="center"/>
          </w:tcPr>
          <w:p>
            <w:pPr>
              <w:pStyle w:val="TableContents"/>
              <w:bidi w:val="0"/>
              <w:spacing w:before="0" w:after="283"/>
              <w:ind w:left="0" w:right="0" w:hanging="180"/>
              <w:jc w:val="left"/>
              <w:rPr/>
            </w:pPr>
            <w:r>
              <w:rPr/>
              <w:t>)</w:t>
            </w:r>
            <w:bookmarkStart w:id="209" w:name="xdx_402_ecustom--DeferredOfferingCostss_"/>
            <w:bookmarkEnd w:id="209"/>
          </w:p>
        </w:tc>
      </w:tr>
      <w:tr>
        <w:trPr/>
        <w:tc>
          <w:tcPr>
            <w:tcW w:w="7341"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(154,463</w:t>
            </w:r>
          </w:p>
        </w:tc>
        <w:tc>
          <w:tcPr>
            <w:tcW w:w="94" w:type="dxa"/>
            <w:tcBorders/>
            <w:shd w:fill="FFFFFF" w:val="clear"/>
            <w:vAlign w:val="center"/>
          </w:tcPr>
          <w:p>
            <w:pPr>
              <w:pStyle w:val="TableContents"/>
              <w:bidi w:val="0"/>
              <w:spacing w:before="0" w:after="283"/>
              <w:ind w:left="0" w:right="0" w:hanging="180"/>
              <w:jc w:val="left"/>
              <w:rPr/>
            </w:pPr>
            <w:r>
              <w:rPr/>
              <w:t>)</w:t>
            </w:r>
            <w:bookmarkStart w:id="210" w:name="xdx_40E_ecustom--ProceedsFromSaleOfCommo"/>
            <w:bookmarkEnd w:id="210"/>
          </w:p>
        </w:tc>
      </w:tr>
      <w:tr>
        <w:trPr/>
        <w:tc>
          <w:tcPr>
            <w:tcW w:w="7341" w:type="dxa"/>
            <w:tcBorders/>
            <w:shd w:fill="CCEEFF" w:val="clear"/>
            <w:vAlign w:val="center"/>
          </w:tcPr>
          <w:p>
            <w:pPr>
              <w:pStyle w:val="TableContents"/>
              <w:bidi w:val="0"/>
              <w:spacing w:before="0" w:after="283"/>
              <w:jc w:val="left"/>
              <w:rPr/>
            </w:pPr>
            <w:r>
              <w:rPr/>
              <w:t>Proceeds from sale of common stock pursuant to equity purchase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3,196,736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180"/>
              <w:jc w:val="left"/>
              <w:rPr/>
            </w:pPr>
            <w:r>
              <w:rPr/>
              <w:t> </w:t>
            </w:r>
            <w:bookmarkStart w:id="211" w:name="xdx_405_eus-gaap--ProceedsFromConvertibl"/>
            <w:bookmarkEnd w:id="211"/>
          </w:p>
        </w:tc>
      </w:tr>
      <w:tr>
        <w:trPr/>
        <w:tc>
          <w:tcPr>
            <w:tcW w:w="7341" w:type="dxa"/>
            <w:tcBorders/>
            <w:shd w:fill="FFFFFF" w:val="clear"/>
            <w:vAlign w:val="center"/>
          </w:tcPr>
          <w:p>
            <w:pPr>
              <w:pStyle w:val="TableContents"/>
              <w:bidi w:val="0"/>
              <w:spacing w:before="0" w:after="283"/>
              <w:jc w:val="left"/>
              <w:rPr/>
            </w:pPr>
            <w:r>
              <w:rPr/>
              <w:t>Proceeds from 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bookmarkStart w:id="212" w:name="xdx_40C_eus-gaap--NetCashProvidedByUsedI"/>
            <w:bookmarkEnd w:id="212"/>
          </w:p>
        </w:tc>
      </w:tr>
      <w:tr>
        <w:trPr/>
        <w:tc>
          <w:tcPr>
            <w:tcW w:w="7341"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18,221,108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4,562,277</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7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bookmarkStart w:id="213" w:name="xdx_409_eus-gaap--CashCashEquivalentsRes"/>
            <w:bookmarkEnd w:id="213"/>
          </w:p>
        </w:tc>
      </w:tr>
      <w:tr>
        <w:trPr/>
        <w:tc>
          <w:tcPr>
            <w:tcW w:w="7341"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1,448,331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1,302,765</w:t>
            </w:r>
          </w:p>
        </w:tc>
        <w:tc>
          <w:tcPr>
            <w:tcW w:w="94" w:type="dxa"/>
            <w:tcBorders/>
            <w:shd w:fill="CCEEFF" w:val="clear"/>
            <w:vAlign w:val="center"/>
          </w:tcPr>
          <w:p>
            <w:pPr>
              <w:pStyle w:val="TableContents"/>
              <w:bidi w:val="0"/>
              <w:spacing w:before="0" w:after="283"/>
              <w:ind w:left="0" w:right="0" w:hanging="180"/>
              <w:jc w:val="left"/>
              <w:rPr/>
            </w:pPr>
            <w:r>
              <w:rPr/>
              <w:t> </w:t>
            </w:r>
            <w:bookmarkStart w:id="214" w:name="xdx_405_eus-gaap--CashCashEquivalentsRes"/>
            <w:bookmarkEnd w:id="214"/>
          </w:p>
        </w:tc>
      </w:tr>
      <w:tr>
        <w:trPr/>
        <w:tc>
          <w:tcPr>
            <w:tcW w:w="7341" w:type="dxa"/>
            <w:tcBorders/>
            <w:shd w:fill="FFFFFF" w:val="clear"/>
            <w:vAlign w:val="center"/>
          </w:tcPr>
          <w:p>
            <w:pPr>
              <w:pStyle w:val="TableContents"/>
              <w:bidi w:val="0"/>
              <w:spacing w:before="0" w:after="283"/>
              <w:jc w:val="left"/>
              <w:rPr>
                <w:b/>
              </w:rPr>
            </w:pPr>
            <w:r>
              <w:rPr>
                <w:b/>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64,893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31,862</w:t>
            </w:r>
          </w:p>
        </w:tc>
        <w:tc>
          <w:tcPr>
            <w:tcW w:w="94" w:type="dxa"/>
            <w:tcBorders/>
            <w:shd w:fill="FFFFFF" w:val="clear"/>
            <w:vAlign w:val="center"/>
          </w:tcPr>
          <w:p>
            <w:pPr>
              <w:pStyle w:val="TableContents"/>
              <w:bidi w:val="0"/>
              <w:spacing w:before="0" w:after="283"/>
              <w:ind w:left="0" w:right="0" w:hanging="180"/>
              <w:jc w:val="left"/>
              <w:rPr/>
            </w:pPr>
            <w:r>
              <w:rPr/>
              <w:t> </w:t>
            </w:r>
            <w:bookmarkStart w:id="215" w:name="xdx_404_eus-gaap--CashCashEquivalentsRes"/>
            <w:bookmarkEnd w:id="215"/>
          </w:p>
        </w:tc>
      </w:tr>
      <w:tr>
        <w:trPr/>
        <w:tc>
          <w:tcPr>
            <w:tcW w:w="7341"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1,513,224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1,334,627</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7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bookmarkStart w:id="216" w:name="xdx_40D_eus-gaap--SupplementalCashFlowIn"/>
            <w:bookmarkEnd w:id="216"/>
          </w:p>
        </w:tc>
      </w:tr>
      <w:tr>
        <w:trPr/>
        <w:tc>
          <w:tcPr>
            <w:tcW w:w="7341" w:type="dxa"/>
            <w:tcBorders/>
            <w:shd w:fill="CCEEFF" w:val="clear"/>
            <w:vAlign w:val="center"/>
          </w:tcPr>
          <w:p>
            <w:pPr>
              <w:pStyle w:val="TableContents"/>
              <w:bidi w:val="0"/>
              <w:spacing w:before="0" w:after="283"/>
              <w:jc w:val="left"/>
              <w:rPr>
                <w:b/>
              </w:rPr>
            </w:pPr>
            <w:r>
              <w:rPr>
                <w:b/>
              </w:rPr>
              <w:t>Supplemental disclosure of 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bookmarkStart w:id="217" w:name="xdx_407_eus-gaap--NotesIssued1_i01_z4x1A"/>
            <w:bookmarkEnd w:id="217"/>
          </w:p>
        </w:tc>
      </w:tr>
      <w:tr>
        <w:trPr/>
        <w:tc>
          <w:tcPr>
            <w:tcW w:w="7341" w:type="dxa"/>
            <w:tcBorders/>
            <w:shd w:fill="FFFFFF" w:val="clear"/>
            <w:vAlign w:val="center"/>
          </w:tcPr>
          <w:p>
            <w:pPr>
              <w:pStyle w:val="TableContents"/>
              <w:bidi w:val="0"/>
              <w:spacing w:before="0" w:after="283"/>
              <w:jc w:val="left"/>
              <w:rPr/>
            </w:pPr>
            <w:r>
              <w:rPr/>
              <w:t>Original issue discount on bridge loan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1,368,421</w:t>
            </w:r>
          </w:p>
        </w:tc>
        <w:tc>
          <w:tcPr>
            <w:tcW w:w="94" w:type="dxa"/>
            <w:tcBorders/>
            <w:shd w:fill="FFFFFF" w:val="clear"/>
            <w:vAlign w:val="center"/>
          </w:tcPr>
          <w:p>
            <w:pPr>
              <w:pStyle w:val="TableContents"/>
              <w:bidi w:val="0"/>
              <w:spacing w:before="0" w:after="283"/>
              <w:ind w:left="0" w:right="0" w:hanging="180"/>
              <w:jc w:val="left"/>
              <w:rPr/>
            </w:pPr>
            <w:r>
              <w:rPr/>
              <w:t> </w:t>
            </w:r>
            <w:bookmarkStart w:id="218" w:name="xdx_40B_eus-gaap--NoncashOrPartNoncashAc"/>
            <w:bookmarkEnd w:id="218"/>
          </w:p>
        </w:tc>
      </w:tr>
      <w:tr>
        <w:trPr/>
        <w:tc>
          <w:tcPr>
            <w:tcW w:w="7341" w:type="dxa"/>
            <w:tcBorders/>
            <w:shd w:fill="CCEEFF" w:val="clear"/>
            <w:vAlign w:val="center"/>
          </w:tcPr>
          <w:p>
            <w:pPr>
              <w:pStyle w:val="TableContents"/>
              <w:bidi w:val="0"/>
              <w:spacing w:before="0" w:after="283"/>
              <w:jc w:val="left"/>
              <w:rPr/>
            </w:pPr>
            <w:r>
              <w:rPr/>
              <w:t>Right of use asset, at lease commencement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536,605</w:t>
            </w:r>
          </w:p>
        </w:tc>
        <w:tc>
          <w:tcPr>
            <w:tcW w:w="94" w:type="dxa"/>
            <w:tcBorders/>
            <w:shd w:fill="CCEEFF" w:val="clear"/>
            <w:vAlign w:val="center"/>
          </w:tcPr>
          <w:p>
            <w:pPr>
              <w:pStyle w:val="TableContents"/>
              <w:bidi w:val="0"/>
              <w:spacing w:before="0" w:after="283"/>
              <w:ind w:left="0" w:right="0" w:hanging="180"/>
              <w:jc w:val="left"/>
              <w:rPr/>
            </w:pPr>
            <w:r>
              <w:rPr/>
              <w:t> </w:t>
            </w:r>
            <w:bookmarkStart w:id="219" w:name="xdx_40D_eus-gaap--StockIssued1_i01_pp0d_"/>
            <w:bookmarkEnd w:id="219"/>
          </w:p>
        </w:tc>
      </w:tr>
      <w:tr>
        <w:trPr/>
        <w:tc>
          <w:tcPr>
            <w:tcW w:w="7341" w:type="dxa"/>
            <w:tcBorders/>
            <w:shd w:fill="FFFFFF" w:val="clear"/>
            <w:vAlign w:val="center"/>
          </w:tcPr>
          <w:p>
            <w:pPr>
              <w:pStyle w:val="TableContents"/>
              <w:bidi w:val="0"/>
              <w:spacing w:before="0" w:after="283"/>
              <w:jc w:val="left"/>
              <w:rPr/>
            </w:pPr>
            <w:r>
              <w:rPr/>
              <w:t>Share issued in connection with advisory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557,192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bookmarkStart w:id="220" w:name="xdx_402_eus-gaap--NoncashOrPartNoncashAc"/>
            <w:bookmarkEnd w:id="220"/>
          </w:p>
        </w:tc>
      </w:tr>
      <w:tr>
        <w:trPr/>
        <w:tc>
          <w:tcPr>
            <w:tcW w:w="7341" w:type="dxa"/>
            <w:tcBorders/>
            <w:shd w:fill="CCEEFF" w:val="clear"/>
            <w:vAlign w:val="center"/>
          </w:tcPr>
          <w:p>
            <w:pPr>
              <w:pStyle w:val="TableContents"/>
              <w:bidi w:val="0"/>
              <w:spacing w:before="0" w:after="283"/>
              <w:jc w:val="left"/>
              <w:rPr/>
            </w:pPr>
            <w:r>
              <w:rPr/>
              <w:t>Reclassified of deferred offering costs to APIC at the completion of the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1,391,580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180"/>
              <w:jc w:val="left"/>
              <w:rPr/>
            </w:pPr>
            <w:r>
              <w:rPr/>
              <w:t> </w:t>
            </w:r>
            <w:bookmarkStart w:id="221" w:name="xdx_40A_eus-gaap--NoncashOrPartNoncashAc"/>
            <w:bookmarkEnd w:id="221"/>
          </w:p>
        </w:tc>
      </w:tr>
      <w:tr>
        <w:trPr/>
        <w:tc>
          <w:tcPr>
            <w:tcW w:w="7341" w:type="dxa"/>
            <w:tcBorders/>
            <w:shd w:fill="FFFFFF" w:val="clear"/>
            <w:vAlign w:val="center"/>
          </w:tcPr>
          <w:p>
            <w:pPr>
              <w:pStyle w:val="TableContents"/>
              <w:bidi w:val="0"/>
              <w:spacing w:before="0" w:after="283"/>
              <w:jc w:val="left"/>
              <w:rPr/>
            </w:pPr>
            <w:r>
              <w:rPr/>
              <w:t>Increase in bridge loan payable - prepaid and deferred offering costs paid directly by bridge loan provider on behalf of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31,346</w:t>
            </w:r>
          </w:p>
        </w:tc>
        <w:tc>
          <w:tcPr>
            <w:tcW w:w="94" w:type="dxa"/>
            <w:tcBorders/>
            <w:shd w:fill="FFFFFF" w:val="clear"/>
            <w:vAlign w:val="center"/>
          </w:tcPr>
          <w:p>
            <w:pPr>
              <w:pStyle w:val="TableContents"/>
              <w:bidi w:val="0"/>
              <w:spacing w:before="0" w:after="283"/>
              <w:ind w:left="0" w:right="0" w:hanging="180"/>
              <w:jc w:val="left"/>
              <w:rPr/>
            </w:pPr>
            <w:r>
              <w:rPr/>
              <w:t> </w:t>
            </w:r>
            <w:bookmarkStart w:id="222" w:name="xdx_404_eus-gaap--NoncashOrPartNoncashAc"/>
            <w:bookmarkEnd w:id="222"/>
          </w:p>
        </w:tc>
      </w:tr>
      <w:tr>
        <w:trPr/>
        <w:tc>
          <w:tcPr>
            <w:tcW w:w="7341" w:type="dxa"/>
            <w:tcBorders/>
            <w:shd w:fill="CCEEFF" w:val="clear"/>
            <w:vAlign w:val="center"/>
          </w:tcPr>
          <w:p>
            <w:pPr>
              <w:pStyle w:val="TableContents"/>
              <w:bidi w:val="0"/>
              <w:spacing w:before="0" w:after="283"/>
              <w:jc w:val="left"/>
              <w:rPr/>
            </w:pPr>
            <w:r>
              <w:rPr/>
              <w:t>Conversion of bridge loan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11,748,464</w:t>
            </w:r>
          </w:p>
        </w:tc>
        <w:tc>
          <w:tcPr>
            <w:tcW w:w="94" w:type="dxa"/>
            <w:tcBorders/>
            <w:shd w:fill="CCEEFF" w:val="clear"/>
            <w:vAlign w:val="center"/>
          </w:tcPr>
          <w:p>
            <w:pPr>
              <w:pStyle w:val="TableContents"/>
              <w:bidi w:val="0"/>
              <w:spacing w:before="0" w:after="283"/>
              <w:ind w:left="0" w:right="0" w:hanging="180"/>
              <w:jc w:val="left"/>
              <w:rPr/>
            </w:pPr>
            <w:r>
              <w:rPr/>
              <w:t> </w:t>
            </w:r>
            <w:bookmarkStart w:id="223" w:name="xdx_400_eus-gaap--NoncashOrPartNoncashAc"/>
            <w:bookmarkEnd w:id="223"/>
          </w:p>
        </w:tc>
      </w:tr>
      <w:tr>
        <w:trPr/>
        <w:tc>
          <w:tcPr>
            <w:tcW w:w="7341" w:type="dxa"/>
            <w:tcBorders/>
            <w:shd w:fill="FFFFFF" w:val="clear"/>
            <w:vAlign w:val="center"/>
          </w:tcPr>
          <w:p>
            <w:pPr>
              <w:pStyle w:val="TableContents"/>
              <w:bidi w:val="0"/>
              <w:spacing w:before="0" w:after="283"/>
              <w:jc w:val="left"/>
              <w:rPr/>
            </w:pPr>
            <w:r>
              <w:rPr/>
              <w:t>Conversion of accrued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412,500</w:t>
            </w:r>
          </w:p>
        </w:tc>
        <w:tc>
          <w:tcPr>
            <w:tcW w:w="94" w:type="dxa"/>
            <w:tcBorders/>
            <w:shd w:fill="FFFFFF" w:val="clear"/>
            <w:vAlign w:val="center"/>
          </w:tcPr>
          <w:p>
            <w:pPr>
              <w:pStyle w:val="TableContents"/>
              <w:bidi w:val="0"/>
              <w:spacing w:before="0" w:after="283"/>
              <w:ind w:left="0" w:right="0" w:hanging="180"/>
              <w:jc w:val="left"/>
              <w:rPr/>
            </w:pPr>
            <w:r>
              <w:rPr/>
              <w:t> </w:t>
            </w:r>
            <w:bookmarkStart w:id="224" w:name="xdx_404_eus-gaap--NoncashOrPartNoncashAc"/>
            <w:bookmarkEnd w:id="224"/>
          </w:p>
        </w:tc>
      </w:tr>
      <w:tr>
        <w:trPr/>
        <w:tc>
          <w:tcPr>
            <w:tcW w:w="7341" w:type="dxa"/>
            <w:tcBorders/>
            <w:shd w:fill="CCEEFF" w:val="clear"/>
            <w:vAlign w:val="center"/>
          </w:tcPr>
          <w:p>
            <w:pPr>
              <w:pStyle w:val="TableContents"/>
              <w:bidi w:val="0"/>
              <w:spacing w:before="0" w:after="283"/>
              <w:jc w:val="left"/>
              <w:rPr/>
            </w:pPr>
            <w:r>
              <w:rPr/>
              <w:t>Conversion of account payable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1,527,090</w:t>
            </w:r>
          </w:p>
        </w:tc>
        <w:tc>
          <w:tcPr>
            <w:tcW w:w="94"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smallCaps/>
          <w:sz w:val="20"/>
        </w:rPr>
      </w:pPr>
      <w:bookmarkStart w:id="225" w:name="a_007"/>
      <w:bookmarkStart w:id="226" w:name="xdx_804_eus-gaap--BusinessDescriptionAnd"/>
      <w:bookmarkEnd w:id="225"/>
      <w:bookmarkEnd w:id="226"/>
      <w:r>
        <w:rPr>
          <w:rFonts w:ascii="Times New Roman;Times;Serif" w:hAnsi="Times New Roman;Times;Serif"/>
          <w:b/>
          <w:i w:val="false"/>
          <w:smallCaps/>
          <w:sz w:val="20"/>
        </w:rPr>
        <w:t xml:space="preserve">Note 1 – </w:t>
      </w:r>
      <w:bookmarkStart w:id="227" w:name="xdx_824_z07XILDlSTb8"/>
      <w:bookmarkEnd w:id="227"/>
      <w:r>
        <w:rPr>
          <w:rFonts w:ascii="Times New Roman;Times;Serif" w:hAnsi="Times New Roman;Times;Serif"/>
          <w:b/>
          <w:i w:val="false"/>
          <w:smallCaps/>
          <w:sz w:val="20"/>
        </w:rPr>
        <w:t>Description of Business and Liquidity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Inc. (“NTI”) was incorporated on April 13, 2005, as a California corporation. On April 7, 2023, NTI merged into NeOnc Technologies Holdings, Inc. (“NTHI” and the combined entities “NeOnc” or the “Company”). NTHI was incorporated January 5, 2023, as a Delaware Corporation.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is the developer of a novel molecular technology that provides enhanced targeted delivery of technologies for treating central nervous system diseases. The Company’s lead product, NEO100 is in clinical trials treating glioblastoma, and has Orphan Drug and Fast Track designation from the United States Food and Drug Administration (“FDA”). The Company licensed the underlying technology from the University of Southern California. (“USC”).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2024, the Company entered into an agreement with a broker dealer to serve as placement agent and provide broker services in connection with the proposed sale of common stock up to $</w:t>
      </w:r>
      <w:bookmarkStart w:id="228" w:name="xdx_909_eus-gaap--ProceedsFromIssuanceOr"/>
      <w:bookmarkEnd w:id="228"/>
      <w:r>
        <w:rPr>
          <w:rFonts w:ascii="Times New Roman;Times;Serif" w:hAnsi="Times New Roman;Times;Serif"/>
          <w:b w:val="false"/>
          <w:i w:val="false"/>
          <w:caps w:val="false"/>
          <w:smallCaps w:val="false"/>
          <w:sz w:val="20"/>
        </w:rPr>
        <w:t xml:space="preserve">10,000,000. Under this agreement, through December 31, 2024, the Company closed on commitments from investors to purchase </w:t>
      </w:r>
      <w:bookmarkStart w:id="229" w:name="xdx_900_eus-gaap--SaleOfStockNumberOfSha"/>
      <w:bookmarkEnd w:id="229"/>
      <w:r>
        <w:rPr>
          <w:rFonts w:ascii="Times New Roman;Times;Serif" w:hAnsi="Times New Roman;Times;Serif"/>
          <w:b w:val="false"/>
          <w:i w:val="false"/>
          <w:caps w:val="false"/>
          <w:smallCaps w:val="false"/>
          <w:sz w:val="20"/>
        </w:rPr>
        <w:t>625,000 shares of common stock of the Company at $</w:t>
      </w:r>
      <w:bookmarkStart w:id="230" w:name="xdx_906_eus-gaap--SharePrice_c20241231__"/>
      <w:bookmarkEnd w:id="230"/>
      <w:r>
        <w:rPr>
          <w:rFonts w:ascii="Times New Roman;Times;Serif" w:hAnsi="Times New Roman;Times;Serif"/>
          <w:b w:val="false"/>
          <w:i w:val="false"/>
          <w:caps w:val="false"/>
          <w:smallCaps w:val="false"/>
          <w:sz w:val="20"/>
        </w:rPr>
        <w:t>16.00 per share for total commitments of $</w:t>
      </w:r>
      <w:bookmarkStart w:id="231" w:name="xdx_903_eus-gaap--OtherCommitment_c20241"/>
      <w:bookmarkEnd w:id="231"/>
      <w:r>
        <w:rPr>
          <w:rFonts w:ascii="Times New Roman;Times;Serif" w:hAnsi="Times New Roman;Times;Serif"/>
          <w:b w:val="false"/>
          <w:i w:val="false"/>
          <w:caps w:val="false"/>
          <w:smallCaps w:val="false"/>
          <w:sz w:val="20"/>
        </w:rPr>
        <w:t xml:space="preserve">10,000,000, which were to be held in escrow until the Company’s registration statement was declared effective. During the three months ended March 31, 2025, prior to the Company having an effective registration statement, the Company closed on an additional commitment to purchase </w:t>
      </w:r>
      <w:bookmarkStart w:id="232" w:name="xdx_908_eus-gaap--SaleOfStockNumberOfSha"/>
      <w:bookmarkEnd w:id="232"/>
      <w:r>
        <w:rPr>
          <w:rFonts w:ascii="Times New Roman;Times;Serif" w:hAnsi="Times New Roman;Times;Serif"/>
          <w:b w:val="false"/>
          <w:i w:val="false"/>
          <w:caps w:val="false"/>
          <w:smallCaps w:val="false"/>
          <w:sz w:val="20"/>
        </w:rPr>
        <w:t>102,750 shares of common stock of the Company at $</w:t>
      </w:r>
      <w:bookmarkStart w:id="233" w:name="xdx_908_eus-gaap--SharePrice_iI_c2025033"/>
      <w:bookmarkEnd w:id="233"/>
      <w:r>
        <w:rPr>
          <w:rFonts w:ascii="Times New Roman;Times;Serif" w:hAnsi="Times New Roman;Times;Serif"/>
          <w:b w:val="false"/>
          <w:i w:val="false"/>
          <w:caps w:val="false"/>
          <w:smallCaps w:val="false"/>
          <w:sz w:val="20"/>
        </w:rPr>
        <w:t>16.00 per share, for total commitments of $</w:t>
      </w:r>
      <w:bookmarkStart w:id="234" w:name="xdx_901_eus-gaap--OtherCommitment_iI_pp0"/>
      <w:bookmarkEnd w:id="234"/>
      <w:r>
        <w:rPr>
          <w:rFonts w:ascii="Times New Roman;Times;Serif" w:hAnsi="Times New Roman;Times;Serif"/>
          <w:b w:val="false"/>
          <w:i w:val="false"/>
          <w:caps w:val="false"/>
          <w:smallCaps w:val="false"/>
          <w:sz w:val="20"/>
        </w:rPr>
        <w:t>1,644,000, On March 10, 2025, the Company’s registration statement was declared effective at which time the $</w:t>
      </w:r>
      <w:bookmarkStart w:id="235" w:name="xdx_909_ecustom--EscrowReleased_iI_pp0d_"/>
      <w:bookmarkEnd w:id="235"/>
      <w:r>
        <w:rPr>
          <w:rFonts w:ascii="Times New Roman;Times;Serif" w:hAnsi="Times New Roman;Times;Serif"/>
          <w:b w:val="false"/>
          <w:i w:val="false"/>
          <w:caps w:val="false"/>
          <w:smallCaps w:val="false"/>
          <w:sz w:val="20"/>
        </w:rPr>
        <w:t>11,644,000 in escrow was released to the Company. On March 26, the Company was listed (“Listing”) on the NASDAQ global markets.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the basis that the Company is a going concern, which contemplates, among other things, the realization of assets and satisfaction of liabilities in the normal course of business. At September 30, 2025, the Company had cash totaling $</w:t>
      </w:r>
      <w:bookmarkStart w:id="236" w:name="xdx_909_eus-gaap--Cash_pp0d_c20250930_z6"/>
      <w:bookmarkEnd w:id="236"/>
      <w:r>
        <w:rPr>
          <w:rFonts w:ascii="Times New Roman;Times;Serif" w:hAnsi="Times New Roman;Times;Serif"/>
          <w:b w:val="false"/>
          <w:i w:val="false"/>
          <w:caps w:val="false"/>
          <w:smallCaps w:val="false"/>
          <w:sz w:val="20"/>
        </w:rPr>
        <w:t>1,513,224. For the three and nine months ended September 30, 2025, the Company incurred a net loss of $</w:t>
      </w:r>
      <w:bookmarkStart w:id="237" w:name="xdx_900_eus-gaap--NetIncomeLoss_iN_pp0d_"/>
      <w:bookmarkEnd w:id="237"/>
      <w:r>
        <w:rPr>
          <w:rFonts w:ascii="Times New Roman;Times;Serif" w:hAnsi="Times New Roman;Times;Serif"/>
          <w:b w:val="false"/>
          <w:i w:val="false"/>
          <w:caps w:val="false"/>
          <w:smallCaps w:val="false"/>
          <w:sz w:val="20"/>
        </w:rPr>
        <w:t>8,615,920 and $</w:t>
      </w:r>
      <w:bookmarkStart w:id="238" w:name="xdx_90A_eus-gaap--NetIncomeLoss_iN_pp0d_"/>
      <w:bookmarkEnd w:id="238"/>
      <w:r>
        <w:rPr>
          <w:rFonts w:ascii="Times New Roman;Times;Serif" w:hAnsi="Times New Roman;Times;Serif"/>
          <w:b w:val="false"/>
          <w:i w:val="false"/>
          <w:caps w:val="false"/>
          <w:smallCaps w:val="false"/>
          <w:sz w:val="20"/>
        </w:rPr>
        <w:t>46,622,106, respectively, and has an accumulated deficit of $</w:t>
      </w:r>
      <w:bookmarkStart w:id="239" w:name="xdx_90F_eus-gaap--RetainedEarningsAccumu"/>
      <w:bookmarkEnd w:id="239"/>
      <w:r>
        <w:rPr>
          <w:rFonts w:ascii="Times New Roman;Times;Serif" w:hAnsi="Times New Roman;Times;Serif"/>
          <w:b w:val="false"/>
          <w:i w:val="false"/>
          <w:caps w:val="false"/>
          <w:smallCaps w:val="false"/>
          <w:sz w:val="20"/>
        </w:rPr>
        <w:t>97,230,551 at September 30, 2025. The Company has financed its working capital requirements to date primarily through the sale of common stock, shareholder loans and related party bridge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sufficient available capital to fund operations for a period of twelve months from the issuance date of these financial statements. Although the Company has established agreements with several funding potential sources (see Notes 6, 7 and 10), the Company does not know whether additional financing will be available when needed, whether it will be available on favorable terms, or if it will be available at all. These factors raise substantial doubt regarding the Company’s ability to continue as a going concern. The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risks and uncertainties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common to biopharmaceutical companies, including, but not limited to, new technological innovations, dependence on key personnel, protection of proprietary technology, compliance with government regulations, product liability, and the uncertainty of market acceptance of products and the potential need to obtain additional financing. The Company is dependent on third-party suppliers and, in some cases, single-source suppliers. The Company’s products require approval or clearance from the FDA prior to commencing commercial sales in the United States. Approvals or clearances are also required in foreign jurisdictions where the Company may license or sell its products. There can be no assurance that the Company’s products will receive all required approvals or clearances.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Company’s products, if approved, will be accepted in the marketplace, nor can there be any assurance that any future products can be developed or manufactured at an acceptable cost with appropriate performance characteristics or that such products will be successfully marketed, if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bookmarkStart w:id="240" w:name="xdx_238_zg848xMXWguc"/>
      <w:bookmarkEnd w:id="240"/>
      <w:r>
        <w:rPr>
          <w:caps w:val="false"/>
          <w:smallCaps w:val="false"/>
        </w:rPr>
        <w:t> </w:t>
      </w:r>
    </w:p>
    <w:p>
      <w:pPr>
        <w:pStyle w:val="TextBody"/>
        <w:bidi w:val="0"/>
        <w:jc w:val="both"/>
        <w:rPr>
          <w:rFonts w:ascii="Times New Roman;Times;Serif" w:hAnsi="Times New Roman;Times;Serif"/>
          <w:b/>
          <w:i w:val="false"/>
          <w:smallCaps/>
          <w:sz w:val="20"/>
        </w:rPr>
      </w:pPr>
      <w:bookmarkStart w:id="241" w:name="xdx_805_eus-gaap--SignificantAccountingP"/>
      <w:bookmarkEnd w:id="241"/>
      <w:r>
        <w:rPr>
          <w:rFonts w:ascii="Times New Roman;Times;Serif" w:hAnsi="Times New Roman;Times;Serif"/>
          <w:b/>
          <w:i w:val="false"/>
          <w:smallCaps/>
          <w:sz w:val="20"/>
        </w:rPr>
        <w:t>Note 2 –</w:t>
      </w:r>
      <w:bookmarkStart w:id="242" w:name="xdx_82F_z0euW9hfEkCl"/>
      <w:bookmarkEnd w:id="242"/>
      <w:r>
        <w:rPr>
          <w:rFonts w:ascii="Times New Roman;Times;Serif" w:hAnsi="Times New Roman;Times;Serif"/>
          <w:b/>
          <w:i w:val="false"/>
          <w:smallCaps/>
          <w:sz w:val="20"/>
        </w:rPr>
        <w:t xml:space="preserve"> Basis of Presentation and 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3" w:name="xdx_84B_eus-gaap--BasisOfAccountingPolic"/>
      <w:bookmarkEnd w:id="243"/>
      <w:r>
        <w:rPr>
          <w:rFonts w:ascii="Times New Roman;Times;Serif" w:hAnsi="Times New Roman;Times;Serif"/>
          <w:b/>
          <w:i w:val="false"/>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contained herein have been prepared by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September 30, 2025, and for the three and nine months ended September 30, 2025, is unaudited, whereas the consolidated balance sheet as of December 31, 2024, is derived from the Company’s audited condensed consolidated financial statements as of that date. These condensed consolidated financial statements and notes hereto should be read in conjunction with the consolidated financial statements and notes thereto included in the audited financial statements for the year ended December 31, 2024, included on Form S-1, filed with the SEC on February 26,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interim periods presented are not necessarily indicative of results to be expected for any other interim period or for the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4" w:name="xdx_865_zy5rV6rwECZh"/>
      <w:bookmarkStart w:id="245" w:name="xdx_84F_eus-gaap--ConsolidationPolicyTex"/>
      <w:bookmarkEnd w:id="244"/>
      <w:bookmarkEnd w:id="245"/>
      <w:r>
        <w:rPr>
          <w:rFonts w:ascii="Times New Roman;Times;Serif" w:hAnsi="Times New Roman;Times;Serif"/>
          <w:b/>
          <w:i w:val="false"/>
          <w:caps w:val="false"/>
          <w:smallCaps w:val="false"/>
          <w:sz w:val="20"/>
        </w:rPr>
        <w:t>Principles of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and related notes to the condensed consolidated financial statements include the accounts of the Company and its wholly owned subsidiary. All significant intercompany balances and transactions have been eliminated in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6" w:name="xdx_868_zZZeZMu9TZs5"/>
      <w:bookmarkStart w:id="247" w:name="xdx_841_eus-gaap--UseOfEstimates_zOz7MI6"/>
      <w:bookmarkEnd w:id="246"/>
      <w:bookmarkEnd w:id="247"/>
      <w:r>
        <w:rPr>
          <w:rFonts w:ascii="Times New Roman;Times;Serif" w:hAnsi="Times New Roman;Times;Serif"/>
          <w:b/>
          <w:i w:val="false"/>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Company’s financial statements in conformity with GAAP, management is required to make estimates and assumptions that affect the reported amounts of assets and liabilities and disclosures of contingent assets and liabilities at the date of the financial statements, as well as the reported amounts of revenues and expenses during the reporting period. Actual results could differ from those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8" w:name="xdx_862_zjHbv0g47bN6"/>
      <w:bookmarkStart w:id="249" w:name="xdx_843_eus-gaap--CashAndCashEquivalents"/>
      <w:bookmarkEnd w:id="248"/>
      <w:bookmarkEnd w:id="249"/>
      <w:r>
        <w:rPr>
          <w:rFonts w:ascii="Times New Roman;Times;Serif" w:hAnsi="Times New Roman;Times;Serif"/>
          <w:b/>
          <w:i w:val="false"/>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during the period covered by these financial statements, may have had bank account balances in excess of federally insured limits. The Company has not experienced losses in such accounts. For the statements of cash flows, the Company considers all short-term investments purchased with a maturity of three months or less to be cash equivalents. At September 30, 2025 and December 31, 2024, the Company has money market funds in the amount of approximately $</w:t>
      </w:r>
      <w:bookmarkStart w:id="250" w:name="xdx_901_eus-gaap--MoneyMarketFundsAtCarr"/>
      <w:bookmarkEnd w:id="250"/>
      <w:r>
        <w:rPr>
          <w:rFonts w:ascii="Times New Roman;Times;Serif" w:hAnsi="Times New Roman;Times;Serif"/>
          <w:b w:val="false"/>
          <w:i w:val="false"/>
          <w:caps w:val="false"/>
          <w:smallCaps w:val="false"/>
          <w:sz w:val="20"/>
        </w:rPr>
        <w:t>12,000 and $</w:t>
      </w:r>
      <w:bookmarkStart w:id="251" w:name="xdx_908_eus-gaap--MoneyMarketFundsAtCarr"/>
      <w:bookmarkEnd w:id="251"/>
      <w:r>
        <w:rPr>
          <w:rFonts w:ascii="Times New Roman;Times;Serif" w:hAnsi="Times New Roman;Times;Serif"/>
          <w:b w:val="false"/>
          <w:i w:val="false"/>
          <w:caps w:val="false"/>
          <w:smallCaps w:val="false"/>
          <w:sz w:val="20"/>
        </w:rPr>
        <w:t>25,000,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2" w:name="xdx_86B_zbYatYj9FNC1"/>
      <w:bookmarkStart w:id="253" w:name="xdx_84F_ecustom--DeferredOfferingCostsPo"/>
      <w:bookmarkEnd w:id="252"/>
      <w:bookmarkEnd w:id="253"/>
      <w:r>
        <w:rPr>
          <w:rFonts w:ascii="Times New Roman;Times;Serif" w:hAnsi="Times New Roman;Times;Serif"/>
          <w:b/>
          <w:i w:val="false"/>
          <w:caps w:val="false"/>
          <w:smallCaps w:val="false"/>
          <w:sz w:val="20"/>
        </w:rPr>
        <w:t>Deferred offering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340-10-S99-1 and SEC Staff Accounting Bulletin (“SAB”) Topic 5A “</w:t>
      </w:r>
      <w:r>
        <w:rPr>
          <w:rFonts w:ascii="Times New Roman;Times;Serif" w:hAnsi="Times New Roman;Times;Serif"/>
          <w:b w:val="false"/>
          <w:i/>
          <w:caps w:val="false"/>
          <w:smallCaps w:val="false"/>
          <w:sz w:val="20"/>
        </w:rPr>
        <w:t>Expenses of Offering</w:t>
      </w:r>
      <w:r>
        <w:rPr>
          <w:rFonts w:ascii="Times New Roman;Times;Serif" w:hAnsi="Times New Roman;Times;Serif"/>
          <w:b w:val="false"/>
          <w:i w:val="false"/>
          <w:caps w:val="false"/>
          <w:smallCaps w:val="false"/>
          <w:sz w:val="20"/>
        </w:rPr>
        <w:t>”. Offering costs consist principally of professional and registration fees incurred through the condensed consolidated balance sheet dated December 31, 2024 that are related to the planned public offering of its securities (See Note 3). These costs have been capitalized and were recognized in equity upon the completion of the securities offering. At September 30, 2025, deferred offering costs consist of the fair value of shares issued in conjunction with the issuance of an equity purchase agreement. These costs have been capitalized and are being amortized over the term of the availability of the equity purchase agreement (Note 6). If planned offerings are terminated, the related capitalized deferred offering costs are written off.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left"/>
        <w:rPr>
          <w:caps w:val="false"/>
          <w:smallCaps w:val="false"/>
        </w:rPr>
      </w:pPr>
      <w:bookmarkStart w:id="254" w:name="xdx_23F_zqNu5fHaVVC2"/>
      <w:bookmarkEnd w:id="254"/>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5" w:name="xdx_862_z1SZXU1Zx7bf"/>
      <w:bookmarkStart w:id="256" w:name="xdx_84D_eus-gaap--DebtPolicyTextBlock_z1"/>
      <w:bookmarkEnd w:id="255"/>
      <w:bookmarkEnd w:id="256"/>
      <w:r>
        <w:rPr>
          <w:rFonts w:ascii="Times New Roman;Times;Serif" w:hAnsi="Times New Roman;Times;Serif"/>
          <w:b/>
          <w:i w:val="false"/>
          <w:caps w:val="false"/>
          <w:smallCaps w:val="false"/>
          <w:sz w:val="20"/>
        </w:rPr>
        <w:t>Debt issuance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represent costs directly attributable to warrants issued for a line of credit commitment. Such costs represent the fair value of warrants issued to the debt facility provider and are amortized to the statement of operations on a straight-line basis which approximates the effective interest rate method, over the term of the debt instrument. The debt issuance costs, net of accumulated amortization, are classified as a long-term asset until the Company begins to draw funds from the debt facility,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At such time, the pro-rata portion of amounts borrowed as compared to the total debt facility will be reclassified as a contra-debt account.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7" w:name="xdx_86B_z5OlL9qX3Hqj"/>
      <w:bookmarkStart w:id="258" w:name="xdx_84C_ecustom--WarrantsPoliciesTextBlo"/>
      <w:bookmarkEnd w:id="257"/>
      <w:bookmarkEnd w:id="258"/>
      <w:r>
        <w:rPr>
          <w:rFonts w:ascii="Times New Roman;Times;Serif" w:hAnsi="Times New Roman;Times;Serif"/>
          <w:b/>
          <w:i w:val="false"/>
          <w:caps w:val="false"/>
          <w:smallCaps w:val="false"/>
          <w:sz w:val="20"/>
        </w:rPr>
        <w:t>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terms of warrants issued and determines if the instrument requires liability or equity accounting classification under ASC 815: Derivatives and Hedging and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9" w:name="xdx_86B_z6d6zPGRZC59"/>
      <w:bookmarkStart w:id="260" w:name="xdx_84E_eus-gaap--LesseeLeasesPolicyText"/>
      <w:bookmarkEnd w:id="259"/>
      <w:bookmarkEnd w:id="260"/>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leases either as operating or financing lease at inception. The company has an operating lease. This lease is recorded as an operating lease, right of use (ROU) assets and operating lease liabilities on the accompanying consolidated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the related lease liabilities are recognized based on the present value of the future minimum lease payments over the lease term at commencement date. The operating lease ROU assets also include lease incentives and initial direct costs incurred. For operating leases, interest on the lease liability and the amortization of ROU asset result in straight-line rent expense over the lease term. Leases may include options to extend or terminate the lease which are included in the ROU operating lease assets and operating lease liability when they are reasonably certain of exercise. Certain leases include lease and non-leased components, which are accounted for as one single lease component. Operating lease expense associated with minimum lease payments is recognized on a straight-line basis over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1" w:name="xdx_86F_zH1QuDbTygB5"/>
      <w:bookmarkStart w:id="262" w:name="xdx_84C_eus-gaap--FairValueMeasurementPo"/>
      <w:bookmarkEnd w:id="261"/>
      <w:bookmarkEnd w:id="262"/>
      <w:r>
        <w:rPr>
          <w:rFonts w:ascii="Times New Roman;Times;Serif" w:hAnsi="Times New Roman;Times;Serif"/>
          <w:b/>
          <w:i w:val="false"/>
          <w:caps w:val="false"/>
          <w:smallCaps w:val="false"/>
          <w:sz w:val="20"/>
        </w:rPr>
        <w:t>Fair value measurements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(“ASC 820”), defines fair value, the methods used to measure fair value and the expanded disclosures about fair value measurements. Fair value is the price received to sell an asset or paid to transfer a liability in an orderly transaction between the buyer and the seller at the measurement date. In determining fair value, the valuation techniques consistent with the market approach, income approach and cost approach shall be used to measure fair value. ASC 820 establishes a fair value hierarchy for inputs, representing the assumptions the buyer and seller use in pricing the asset or liability. These inputs are further defined as observable and unobservable inputs. Observable inputs are those that the buyer and seller would use in pricing the asset or liability based on market data obtained from sources independent of the Company. Unobservable inputs reflect the Company’s assumptions about the inputs the buyer and seller would use to price the asset or liability developed based on the best information available in the circumstances.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money market funds are valued at quoted prices in active markets and are classified as Level 1 within the fair value hierarchy. The carrying value of the Company’s accounts payable approximates its fair value because of the short-term nature of these financial instruments. The note payable - related party is reported at fair value as the Company elected the fair value option for such a note (see Note 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is categorized into three levels based on the inputs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the valuation of these securities does not entail a significant degree of judgment.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left"/>
        <w:rPr>
          <w:caps w:val="false"/>
          <w:smallCaps w:val="false"/>
        </w:rPr>
      </w:pPr>
      <w:bookmarkStart w:id="263" w:name="xdx_234_zVmFkL2ITZs2"/>
      <w:bookmarkEnd w:id="263"/>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the market through correlation or other means.</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unobservable inputs and significant to the overall fair value measurement.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4" w:name="xdx_86D_zLmp40J0HtT8"/>
      <w:bookmarkStart w:id="265" w:name="xdx_841_eus-gaap--RevenueRecognitionPoli"/>
      <w:bookmarkEnd w:id="264"/>
      <w:bookmarkEnd w:id="265"/>
      <w:r>
        <w:rPr>
          <w:rFonts w:ascii="Times New Roman;Times;Serif" w:hAnsi="Times New Roman;Times;Serif"/>
          <w:b/>
          <w:i w:val="false"/>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point-in-time revenue of $</w:t>
      </w:r>
      <w:bookmarkStart w:id="266" w:name="xdx_906_eus-gaap--Revenues_pp0d_c2025070"/>
      <w:bookmarkEnd w:id="266"/>
      <w:r>
        <w:rPr>
          <w:rFonts w:ascii="Times New Roman;Times;Serif" w:hAnsi="Times New Roman;Times;Serif"/>
          <w:b w:val="false"/>
          <w:i w:val="false"/>
          <w:caps w:val="false"/>
          <w:smallCaps w:val="false"/>
          <w:sz w:val="20"/>
        </w:rPr>
        <w:t>0 and $</w:t>
      </w:r>
      <w:bookmarkStart w:id="267" w:name="xdx_904_eus-gaap--Revenues_pp0d_c2025010"/>
      <w:bookmarkEnd w:id="267"/>
      <w:r>
        <w:rPr>
          <w:rFonts w:ascii="Times New Roman;Times;Serif" w:hAnsi="Times New Roman;Times;Serif"/>
          <w:b w:val="false"/>
          <w:i w:val="false"/>
          <w:caps w:val="false"/>
          <w:smallCaps w:val="false"/>
          <w:sz w:val="20"/>
        </w:rPr>
        <w:t>39,990 for the three and nine months ended September 30, 2025, and $</w:t>
      </w:r>
      <w:bookmarkStart w:id="268" w:name="xdx_907_eus-gaap--Revenues_pp0d_c2024070"/>
      <w:bookmarkEnd w:id="268"/>
      <w:r>
        <w:rPr>
          <w:rFonts w:ascii="Times New Roman;Times;Serif" w:hAnsi="Times New Roman;Times;Serif"/>
          <w:b w:val="false"/>
          <w:i w:val="false"/>
          <w:caps w:val="false"/>
          <w:smallCaps w:val="false"/>
          <w:sz w:val="20"/>
        </w:rPr>
        <w:t>0 and $</w:t>
      </w:r>
      <w:bookmarkStart w:id="269" w:name="xdx_90C_eus-gaap--Revenues_pp0d_c2024010"/>
      <w:bookmarkEnd w:id="269"/>
      <w:r>
        <w:rPr>
          <w:rFonts w:ascii="Times New Roman;Times;Serif" w:hAnsi="Times New Roman;Times;Serif"/>
          <w:b w:val="false"/>
          <w:i w:val="false"/>
          <w:caps w:val="false"/>
          <w:smallCaps w:val="false"/>
          <w:sz w:val="20"/>
        </w:rPr>
        <w:t>63,000 for the three and nine months ended September 30, 2024, respectively, for the right to try its technology in compassion use cases where the Company has no further performance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70" w:name="xdx_865_zEblMOvHIbki"/>
      <w:bookmarkStart w:id="271" w:name="xdx_847_eus-gaap--ResearchAndDevelopment"/>
      <w:bookmarkEnd w:id="270"/>
      <w:bookmarkEnd w:id="271"/>
      <w:r>
        <w:rPr>
          <w:rFonts w:ascii="Times New Roman;Times;Serif" w:hAnsi="Times New Roman;Times;Serif"/>
          <w:b/>
          <w:i w:val="false"/>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expenses include personnel costs associated with research and development activities, including third-party contractors performing research, conducting clinical trials, and manufacturing drug supplies and materials.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72" w:name="xdx_869_zMBpQ9ReCADa"/>
      <w:bookmarkStart w:id="273" w:name="xdx_844_ecustom--PatentCostsPoliciesText"/>
      <w:bookmarkEnd w:id="272"/>
      <w:bookmarkEnd w:id="273"/>
      <w:r>
        <w:rPr>
          <w:rFonts w:ascii="Times New Roman;Times;Serif" w:hAnsi="Times New Roman;Times;Serif"/>
          <w:b/>
          <w:i w:val="false"/>
          <w:caps w:val="false"/>
          <w:smallCaps w:val="false"/>
          <w:sz w:val="20"/>
        </w:rPr>
        <w:t>Patent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patent-related costs incurred in filing and prosecuting patent applications are expensed as incurred due to the uncertainty about the recovery of the expenditure. Amounts incurred are classified as legal and professional expenses in the accompanying consolidated statements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74" w:name="xdx_86B_zhvVSDZF8oRc"/>
      <w:bookmarkStart w:id="275" w:name="xdx_846_eus-gaap--ShareBasedCompensation"/>
      <w:bookmarkEnd w:id="274"/>
      <w:bookmarkEnd w:id="275"/>
      <w:r>
        <w:rPr>
          <w:rFonts w:ascii="Times New Roman;Times;Serif" w:hAnsi="Times New Roman;Times;Serif"/>
          <w:b/>
          <w:i w:val="false"/>
          <w:caps w:val="false"/>
          <w:smallCaps w:val="false"/>
          <w:sz w:val="20"/>
        </w:rPr>
        <w:t>Share-based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and common stock to employees, non-employee consultants and non-employee members of our Board of Directors. The Company measures the compensation cost associated with all share-based payments based on the grant date fair values. Compensation costs associated with grants of common stock are measured at fair value at the date of grant, which has historically been the most recent price paid by investors to purchase shares of the Company’s common stock prior to such grant. The Company recognizes share-based compensation expense over the requisite service period of each award, which generally equals the vesting period, using the straight-line method for awards that contain only service conditions. If the stock grant is contingent upon events that have not yet happened, then the grant is not considered issued. If an award holder leaves the company prior to vesting, and adjustment of the compensation expense will be made to reflect only those awards that vested.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stock-based compensation expense for the restricted stock units (“RSU”) based upon the fair value of the common stock at the date of the grant. The expense is recognized over the service period provided in the RSU awards, however expense will not be recognized until the listing date (“Listing Date”), as prior to such date it was not probable that condition to commence vesting would be met.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vesting contingency is met, the Company will commence to recognize expense related to the RSU’s. For time based vested RSU’s, the expense will be recognized on a straight-line basis from the grant date to the last vesting date. The expense recognized will include the expense from the date of the grant over the total vesting period and reflect the portion attributable to the service provided prior to the listing. For performance based RSU’s, the Company will determine the probability of the contingency being met each quarter end based upon an assessment of progress made under such performance criteria.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left"/>
        <w:rPr>
          <w:caps w:val="false"/>
          <w:smallCaps w:val="false"/>
        </w:rPr>
      </w:pPr>
      <w:bookmarkStart w:id="276" w:name="xdx_232_z6XAGuTvEhjf"/>
      <w:bookmarkEnd w:id="276"/>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77" w:name="xdx_84E_eus-gaap--EarningsPerSharePolicy"/>
      <w:bookmarkEnd w:id="277"/>
      <w:r>
        <w:rPr>
          <w:rFonts w:ascii="Times New Roman;Times;Serif" w:hAnsi="Times New Roman;Times;Serif"/>
          <w:b/>
          <w:i w:val="false"/>
          <w:caps w:val="false"/>
          <w:smallCaps w:val="false"/>
          <w:sz w:val="20"/>
        </w:rPr>
        <w:t>Net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available to common stockholders by the weighted average number of common stock outstanding during the period. Diluted net loss per share is computed by dividing net loss by the sum of the weighted average number of common stock outstanding during the period. For periods in which the Company reports a net loss, the diluted net loss per share is the same as basic net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September 30, 2025 there are potentially dilutive securities outstanding of </w:t>
      </w:r>
      <w:bookmarkStart w:id="278" w:name="xdx_905_eus-gaap--AntidilutiveSecurities"/>
      <w:bookmarkEnd w:id="278"/>
      <w:r>
        <w:rPr>
          <w:rFonts w:ascii="Times New Roman;Times;Serif" w:hAnsi="Times New Roman;Times;Serif"/>
          <w:b w:val="false"/>
          <w:i w:val="false"/>
          <w:caps w:val="false"/>
          <w:smallCaps w:val="false"/>
          <w:sz w:val="20"/>
        </w:rPr>
        <w:t xml:space="preserve">3,010,000 potentially dilutive restricted stock units which are not included in the diluted net loss per share calculation since their effect is anti-dilutive. For the nine months ended September 30, 2024, respectively, there were </w:t>
      </w:r>
      <w:bookmarkStart w:id="279" w:name="xdx_900_eus-gaap--AntidilutiveSecurities"/>
      <w:bookmarkEnd w:id="279"/>
      <w:r>
        <w:rPr>
          <w:rFonts w:ascii="Times New Roman;Times;Serif" w:hAnsi="Times New Roman;Times;Serif"/>
          <w:b w:val="false"/>
          <w:i w:val="false"/>
          <w:caps w:val="false"/>
          <w:smallCaps w:val="false"/>
          <w:sz w:val="20"/>
        </w:rPr>
        <w:t xml:space="preserve">no potentially dilutive warrants outstanding and </w:t>
      </w:r>
      <w:bookmarkStart w:id="280" w:name="xdx_90A_eus-gaap--AntidilutiveSecurities"/>
      <w:bookmarkEnd w:id="280"/>
      <w:r>
        <w:rPr>
          <w:rFonts w:ascii="Times New Roman;Times;Serif" w:hAnsi="Times New Roman;Times;Serif"/>
          <w:b w:val="false"/>
          <w:i w:val="false"/>
          <w:caps w:val="false"/>
          <w:smallCaps w:val="false"/>
          <w:sz w:val="20"/>
        </w:rPr>
        <w:t>no potentially dilutive 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1" w:name="xdx_860_ztmD0dVgbx1"/>
      <w:bookmarkStart w:id="282" w:name="xdx_84F_eus-gaap--IncomeTaxPolicyTextBlo"/>
      <w:bookmarkEnd w:id="281"/>
      <w:bookmarkEnd w:id="282"/>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federal, state, and foreign current tax liabilities or assets based on its estimate of taxes payable to or refundable by tax authorities in the current fiscal year. For the periods ended September 30, 2025 and 2024, there is no current tax provision due to losses generated. The Company also recognizes federal and state deferred tax liabilities or assets based on the Company’s estimate of future tax effects attributable to temporary differences and carry forwards. Deferred tax assets and liabilities are measured using enacted tax rates expected to apply to taxable income in the years those temporary differences are expected to be recovered or settled.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reduced by valuation allowances if, based on the consideration of all available evidence, it is more likely than not that some portion of the deferred tax asset will not be realized. The Company evaluates deferred income taxes quarterly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 The difference between the statutory and effective rates for the three and nine months ended September 30, 2025 and 2024 is a result of the Company applying a full valuation allowance against any deferred tax assets as a result of net operating losses due to uncertainties surrounding the usability of such net operating losses. The ability to utilize such net operating loss carry forwards may be limited due to possible changes in ownership as defined under Internal Revenue Code section 382.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accounting guidance related to financial statement recognition, measurement and disclosure of uncertain tax positions. The Company recognizes the impact of an uncertain income tax position on an income tax return at the largest amount that is more likely than not to be sustained upon audit by the relevant taxing authority. An uncertain income tax position will not be recognized if it is less than 50% likely to be sustained. Uncertain tax positions are recognized in the first subsequent financial reporting period in which that threshold is met or from changes in circumstances such as the expiration of applicable statutes of limitations. The Company will recognize interest and penalties related to tax positions in income tax expense.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3" w:name="xdx_86C_zQtQPCOwGjqd"/>
      <w:bookmarkStart w:id="284" w:name="xdx_845_eus-gaap--SegmentReportingPolicy"/>
      <w:bookmarkEnd w:id="283"/>
      <w:bookmarkEnd w:id="284"/>
      <w:r>
        <w:rPr>
          <w:rFonts w:ascii="Times New Roman;Times;Serif" w:hAnsi="Times New Roman;Times;Serif"/>
          <w:b/>
          <w:i w:val="false"/>
          <w:caps w:val="false"/>
          <w:smallCaps w:val="false"/>
          <w:sz w:val="20"/>
        </w:rPr>
        <w:t>Segment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profit (referred to as the “significant expense principle”). The standard has been adopted for our fiscal year 2024 annual financial statements and interim financial statements thereafter and have applied this standard retrospectively for all prior periods presented in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5" w:name="xdx_86A_zSfesSMZDfwa"/>
      <w:bookmarkStart w:id="286" w:name="xdx_845_ecustom--ReclassificationsPolicy"/>
      <w:bookmarkEnd w:id="285"/>
      <w:bookmarkEnd w:id="286"/>
      <w:r>
        <w:rPr>
          <w:rFonts w:ascii="Times New Roman;Times;Serif" w:hAnsi="Times New Roman;Times;Serif"/>
          <w:b/>
          <w:i w:val="false"/>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of previously reported amounts have been made to conform to the current year presentation. Such reclassifications did not impact net income as previously reported.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left"/>
        <w:rPr>
          <w:caps w:val="false"/>
          <w:smallCaps w:val="false"/>
        </w:rPr>
      </w:pPr>
      <w:bookmarkStart w:id="287" w:name="xdx_237_zYZGaA0cunpd"/>
      <w:bookmarkEnd w:id="287"/>
      <w:r>
        <w:rPr>
          <w:caps w:val="false"/>
          <w:smallCaps w:val="false"/>
        </w:rPr>
        <w:t> </w:t>
      </w:r>
    </w:p>
    <w:p>
      <w:pPr>
        <w:pStyle w:val="TextBody"/>
        <w:bidi w:val="0"/>
        <w:jc w:val="both"/>
        <w:rPr>
          <w:rFonts w:ascii="Times New Roman;Times;Serif" w:hAnsi="Times New Roman;Times;Serif"/>
          <w:b/>
          <w:i w:val="false"/>
          <w:smallCaps/>
          <w:sz w:val="20"/>
        </w:rPr>
      </w:pPr>
      <w:bookmarkStart w:id="288" w:name="xdx_80B_eus-gaap--RelatedPartyTransactio"/>
      <w:bookmarkEnd w:id="288"/>
      <w:r>
        <w:rPr>
          <w:rFonts w:ascii="Times New Roman;Times;Serif" w:hAnsi="Times New Roman;Times;Serif"/>
          <w:b/>
          <w:i w:val="false"/>
          <w:smallCaps/>
          <w:sz w:val="20"/>
        </w:rPr>
        <w:t xml:space="preserve">Note 3 – </w:t>
      </w:r>
      <w:bookmarkStart w:id="289" w:name="xdx_826_zI2obz7EUXej"/>
      <w:bookmarkEnd w:id="289"/>
      <w:r>
        <w:rPr>
          <w:rFonts w:ascii="Times New Roman;Times;Serif" w:hAnsi="Times New Roman;Times;Serif"/>
          <w:b/>
          <w:i w:val="false"/>
          <w:smallCaps/>
          <w:sz w:val="20"/>
        </w:rPr>
        <w:t xml:space="preserve">Related </w:t>
      </w:r>
      <w:r>
        <w:rPr>
          <w:rFonts w:ascii="Times New Roman;Times;Serif" w:hAnsi="Times New Roman;Times;Serif"/>
          <w:b/>
          <w:i w:val="false"/>
          <w:caps/>
          <w:sz w:val="20"/>
        </w:rPr>
        <w:t>p</w:t>
      </w:r>
      <w:r>
        <w:rPr>
          <w:rFonts w:ascii="Times New Roman;Times;Serif" w:hAnsi="Times New Roman;Times;Serif"/>
          <w:b/>
          <w:i w:val="false"/>
          <w:smallCaps/>
          <w:sz w:val="20"/>
        </w:rPr>
        <w:t xml:space="preserve">arty </w:t>
      </w:r>
      <w:r>
        <w:rPr>
          <w:rFonts w:ascii="Times New Roman;Times;Serif" w:hAnsi="Times New Roman;Times;Serif"/>
          <w:b/>
          <w:i w:val="false"/>
          <w:caps/>
          <w:sz w:val="20"/>
        </w:rPr>
        <w:t>t</w:t>
      </w:r>
      <w:r>
        <w:rPr>
          <w:rFonts w:ascii="Times New Roman;Times;Serif" w:hAnsi="Times New Roman;Times;Serif"/>
          <w:b/>
          <w:i w:val="false"/>
          <w:smallCaps/>
          <w:sz w:val="20"/>
        </w:rPr>
        <w: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AFH Holdings and Advisory, LLC advisory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2022, the Company entered into an advisory agreement with AFH Holdings and Advisory, LLC, an affiliate to assist the Company in connection with its intent to affect a public listing. AFH was retained to assist the Company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2024, the Company amended the AFH advisory agreement section to allow for an upfront payment on the Listing Date of $</w:t>
      </w:r>
      <w:bookmarkStart w:id="290" w:name="xdx_90E_ecustom--UpfrontPayment_c2024070"/>
      <w:bookmarkEnd w:id="290"/>
      <w:r>
        <w:rPr>
          <w:rFonts w:ascii="Times New Roman;Times;Serif" w:hAnsi="Times New Roman;Times;Serif"/>
          <w:b w:val="false"/>
          <w:i w:val="false"/>
          <w:caps w:val="false"/>
          <w:smallCaps w:val="false"/>
          <w:sz w:val="20"/>
        </w:rPr>
        <w:t>2,500,000 and the remaining amount of the fee to be paid in equal monthly instalments for one year. AFH was paid a fee of $</w:t>
      </w:r>
      <w:bookmarkStart w:id="291" w:name="xdx_901_ecustom--AmendmentFees_c20240701"/>
      <w:bookmarkEnd w:id="291"/>
      <w:r>
        <w:rPr>
          <w:rFonts w:ascii="Times New Roman;Times;Serif" w:hAnsi="Times New Roman;Times;Serif"/>
          <w:b w:val="false"/>
          <w:i w:val="false"/>
          <w:caps w:val="false"/>
          <w:smallCaps w:val="false"/>
          <w:sz w:val="20"/>
        </w:rPr>
        <w:t>500,000 for the amendment.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2025, and as a result of the listing of the Company on Nasdaq, the Company incurred $</w:t>
      </w:r>
      <w:bookmarkStart w:id="292" w:name="xdx_90A_ecustom--AdvisoryFeeExpense_c202"/>
      <w:bookmarkEnd w:id="292"/>
      <w:r>
        <w:rPr>
          <w:rFonts w:ascii="Times New Roman;Times;Serif" w:hAnsi="Times New Roman;Times;Serif"/>
          <w:b w:val="false"/>
          <w:i w:val="false"/>
          <w:caps w:val="false"/>
          <w:smallCaps w:val="false"/>
          <w:sz w:val="20"/>
        </w:rPr>
        <w:t>11,328,565 for the fee earned in accordance with the AFH advisory agreement which was recorded as advisory fee expense in the condensed consolidated statement of operations. In accordance with the amendment, the Company paid $</w:t>
      </w:r>
      <w:bookmarkStart w:id="293" w:name="xdx_90F_ecustom--AdvisoryFeePaid_c202503"/>
      <w:bookmarkEnd w:id="293"/>
      <w:r>
        <w:rPr>
          <w:rFonts w:ascii="Times New Roman;Times;Serif" w:hAnsi="Times New Roman;Times;Serif"/>
          <w:b w:val="false"/>
          <w:i w:val="false"/>
          <w:caps w:val="false"/>
          <w:smallCaps w:val="false"/>
          <w:sz w:val="20"/>
        </w:rPr>
        <w:t>2,500,000 of such fee on March 26, 2025. The remaining balance of $</w:t>
      </w:r>
      <w:bookmarkStart w:id="294" w:name="xdx_90A_eus-gaap--SaleLeasebackTransacti"/>
      <w:bookmarkEnd w:id="294"/>
      <w:r>
        <w:rPr>
          <w:rFonts w:ascii="Times New Roman;Times;Serif" w:hAnsi="Times New Roman;Times;Serif"/>
          <w:b w:val="false"/>
          <w:i w:val="false"/>
          <w:caps w:val="false"/>
          <w:smallCaps w:val="false"/>
          <w:sz w:val="20"/>
        </w:rPr>
        <w:t>8,828,565 is payable in 12 equal monthly installments commencing in April 2025. As of September 30, 2025, the remaining outstanding accrued advisory fee totaled $</w:t>
      </w:r>
      <w:bookmarkStart w:id="295" w:name="xdx_90C_ecustom--AdvisoryFeeExpense_pp0d"/>
      <w:bookmarkEnd w:id="295"/>
      <w:r>
        <w:rPr>
          <w:rFonts w:ascii="Times New Roman;Times;Serif" w:hAnsi="Times New Roman;Times;Serif"/>
          <w:b w:val="false"/>
          <w:i w:val="false"/>
          <w:caps w:val="false"/>
          <w:smallCaps w:val="false"/>
          <w:sz w:val="20"/>
        </w:rPr>
        <w:t>3,675,569 recorded on the condensed consolidated balance within accrued advisory fee –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agreed to retain AFH as an exclusive advisor to the Company on all financing and mergers and acquisitions for a period of two (2) years from the closing of the private securities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USC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sz w:val="20"/>
        </w:rPr>
      </w:pPr>
      <w:r>
        <w:rPr>
          <w:rFonts w:ascii="Times New Roman;Times;Serif" w:hAnsi="Times New Roman;Times;Serif"/>
          <w:sz w:val="20"/>
        </w:rPr>
        <w:t>The Company maintains a license agreement with USC, under which the Company will pay USC an annual patent maintenance fee of $</w:t>
      </w:r>
      <w:bookmarkStart w:id="296" w:name="xdx_905_ecustom--AnnualPatentMaintenance"/>
      <w:bookmarkEnd w:id="296"/>
      <w:r>
        <w:rPr>
          <w:rFonts w:ascii="Times New Roman;Times;Serif" w:hAnsi="Times New Roman;Times;Serif"/>
          <w:sz w:val="20"/>
        </w:rPr>
        <w:t xml:space="preserve">20,000 and nonrefundable earned royalties of </w:t>
      </w:r>
      <w:bookmarkStart w:id="297" w:name="xdx_903_ecustom--RoyaltiesPercentage_c20"/>
      <w:bookmarkEnd w:id="297"/>
      <w:r>
        <w:rPr>
          <w:rFonts w:ascii="Times New Roman;Times;Serif" w:hAnsi="Times New Roman;Times;Serif"/>
          <w:sz w:val="20"/>
        </w:rPr>
        <w:t>4% on Net Sales (as defined in the Amended Agreement) of Licensed Products covered by the licensed patents in all countries in which the manufacture, use, sale, offer for sale, or import of such Licensed Products, as such capitalized terms are defined in the Amended Agreement. To date, no sales have been made using Licensed Products, and no royalties are due to USC. In addition, the Company will assume responsibility for patent-related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utilizes laboratory and patent maintenance services from USC. The Company incurred $</w:t>
      </w:r>
      <w:bookmarkStart w:id="298" w:name="xdx_901_ecustom--UtilizesLaboratoryAndPa"/>
      <w:bookmarkEnd w:id="298"/>
      <w:r>
        <w:rPr>
          <w:rFonts w:ascii="Times New Roman;Times;Serif" w:hAnsi="Times New Roman;Times;Serif"/>
          <w:b w:val="false"/>
          <w:i w:val="false"/>
          <w:caps w:val="false"/>
          <w:smallCaps w:val="false"/>
          <w:sz w:val="20"/>
        </w:rPr>
        <w:t>382 and $</w:t>
      </w:r>
      <w:bookmarkStart w:id="299" w:name="xdx_907_ecustom--UtilizesLaboratoryAndPa"/>
      <w:bookmarkEnd w:id="299"/>
      <w:r>
        <w:rPr>
          <w:rFonts w:ascii="Times New Roman;Times;Serif" w:hAnsi="Times New Roman;Times;Serif"/>
          <w:b w:val="false"/>
          <w:i w:val="false"/>
          <w:caps w:val="false"/>
          <w:smallCaps w:val="false"/>
          <w:sz w:val="20"/>
        </w:rPr>
        <w:t>184,449 and $</w:t>
      </w:r>
      <w:bookmarkStart w:id="300" w:name="xdx_907_ecustom--UtilizesLaboratoryAndPa"/>
      <w:bookmarkEnd w:id="300"/>
      <w:r>
        <w:rPr>
          <w:rFonts w:ascii="Times New Roman;Times;Serif" w:hAnsi="Times New Roman;Times;Serif"/>
          <w:b w:val="false"/>
          <w:i w:val="false"/>
          <w:caps w:val="false"/>
          <w:smallCaps w:val="false"/>
          <w:sz w:val="20"/>
        </w:rPr>
        <w:t>98,543 and $</w:t>
      </w:r>
      <w:bookmarkStart w:id="301" w:name="xdx_905_ecustom--UtilizesLaboratoryAndPa"/>
      <w:bookmarkEnd w:id="301"/>
      <w:r>
        <w:rPr>
          <w:rFonts w:ascii="Times New Roman;Times;Serif" w:hAnsi="Times New Roman;Times;Serif"/>
          <w:b w:val="false"/>
          <w:i w:val="false"/>
          <w:caps w:val="false"/>
          <w:smallCaps w:val="false"/>
          <w:sz w:val="20"/>
        </w:rPr>
        <w:t>382,858 related to such services for the three and nine months ended September 30, 2025 and 2024, respectively, of which $</w:t>
      </w:r>
      <w:bookmarkStart w:id="302" w:name="xdx_900_ecustom--UtilizesLaboratoryAndPa"/>
      <w:bookmarkEnd w:id="302"/>
      <w:r>
        <w:rPr>
          <w:rFonts w:ascii="Times New Roman;Times;Serif" w:hAnsi="Times New Roman;Times;Serif"/>
          <w:b w:val="false"/>
          <w:i w:val="false"/>
          <w:caps w:val="false"/>
          <w:smallCaps w:val="false"/>
          <w:sz w:val="20"/>
        </w:rPr>
        <w:t>382, $</w:t>
      </w:r>
      <w:bookmarkStart w:id="303" w:name="xdx_900_ecustom--UtilizesLaboratoryAndPa"/>
      <w:bookmarkEnd w:id="303"/>
      <w:r>
        <w:rPr>
          <w:rFonts w:ascii="Times New Roman;Times;Serif" w:hAnsi="Times New Roman;Times;Serif"/>
          <w:b w:val="false"/>
          <w:i w:val="false"/>
          <w:caps w:val="false"/>
          <w:smallCaps w:val="false"/>
          <w:sz w:val="20"/>
        </w:rPr>
        <w:t>164,449 and $</w:t>
      </w:r>
      <w:bookmarkStart w:id="304" w:name="xdx_90B_ecustom--UtilizesLaboratoryAndPa"/>
      <w:bookmarkEnd w:id="304"/>
      <w:r>
        <w:rPr>
          <w:rFonts w:ascii="Times New Roman;Times;Serif" w:hAnsi="Times New Roman;Times;Serif"/>
          <w:b w:val="false"/>
          <w:i w:val="false"/>
          <w:caps w:val="false"/>
          <w:smallCaps w:val="false"/>
          <w:sz w:val="20"/>
        </w:rPr>
        <w:t>98,543 and $</w:t>
      </w:r>
      <w:bookmarkStart w:id="305" w:name="xdx_902_ecustom--UtilizesLaboratoryAndPa"/>
      <w:bookmarkEnd w:id="305"/>
      <w:r>
        <w:rPr>
          <w:rFonts w:ascii="Times New Roman;Times;Serif" w:hAnsi="Times New Roman;Times;Serif"/>
          <w:b w:val="false"/>
          <w:i w:val="false"/>
          <w:caps w:val="false"/>
          <w:smallCaps w:val="false"/>
          <w:sz w:val="20"/>
        </w:rPr>
        <w:t>362,858 are recorded within research and development expenses and $</w:t>
      </w:r>
      <w:bookmarkStart w:id="306" w:name="xdx_901_ecustom--UtilizesLaboratoryAndPa"/>
      <w:bookmarkEnd w:id="306"/>
      <w:r>
        <w:rPr>
          <w:rFonts w:ascii="Times New Roman;Times;Serif" w:hAnsi="Times New Roman;Times;Serif"/>
          <w:b w:val="false"/>
          <w:i w:val="false"/>
          <w:caps w:val="false"/>
          <w:smallCaps w:val="false"/>
          <w:sz w:val="20"/>
        </w:rPr>
        <w:t>0, $</w:t>
      </w:r>
      <w:bookmarkStart w:id="307" w:name="xdx_901_ecustom--UtilizesLaboratoryAndPa"/>
      <w:bookmarkEnd w:id="307"/>
      <w:r>
        <w:rPr>
          <w:rFonts w:ascii="Times New Roman;Times;Serif" w:hAnsi="Times New Roman;Times;Serif"/>
          <w:b w:val="false"/>
          <w:i w:val="false"/>
          <w:caps w:val="false"/>
          <w:smallCaps w:val="false"/>
          <w:sz w:val="20"/>
        </w:rPr>
        <w:t>20,000 and $</w:t>
      </w:r>
      <w:bookmarkStart w:id="308" w:name="xdx_90B_ecustom--UtilizesLaboratoryAndPa"/>
      <w:bookmarkEnd w:id="308"/>
      <w:r>
        <w:rPr>
          <w:rFonts w:ascii="Times New Roman;Times;Serif" w:hAnsi="Times New Roman;Times;Serif"/>
          <w:b w:val="false"/>
          <w:i w:val="false"/>
          <w:caps w:val="false"/>
          <w:smallCaps w:val="false"/>
          <w:sz w:val="20"/>
        </w:rPr>
        <w:t>0 and $</w:t>
      </w:r>
      <w:bookmarkStart w:id="309" w:name="xdx_903_ecustom--UtilizesLaboratoryAndPa"/>
      <w:bookmarkEnd w:id="309"/>
      <w:r>
        <w:rPr>
          <w:rFonts w:ascii="Times New Roman;Times;Serif" w:hAnsi="Times New Roman;Times;Serif"/>
          <w:b w:val="false"/>
          <w:i w:val="false"/>
          <w:caps w:val="false"/>
          <w:smallCaps w:val="false"/>
          <w:sz w:val="20"/>
        </w:rPr>
        <w:t>20,000 are recorded within general administrative expenses on the condensed consolidated statements of operations. At September 30, 2025 and December 31, 2024, the Company has outstanding payables to USC for such services of $</w:t>
      </w:r>
      <w:bookmarkStart w:id="310" w:name="xdx_90A_ecustom--UtilizesLaboratoryAndPa"/>
      <w:bookmarkEnd w:id="310"/>
      <w:r>
        <w:rPr>
          <w:rFonts w:ascii="Times New Roman;Times;Serif" w:hAnsi="Times New Roman;Times;Serif"/>
          <w:b w:val="false"/>
          <w:i w:val="false"/>
          <w:caps w:val="false"/>
          <w:smallCaps w:val="false"/>
          <w:sz w:val="20"/>
        </w:rPr>
        <w:t>499,607 and $</w:t>
      </w:r>
      <w:bookmarkStart w:id="311" w:name="xdx_90D_ecustom--UtilizesLaboratoryAndPa"/>
      <w:bookmarkEnd w:id="311"/>
      <w:r>
        <w:rPr>
          <w:rFonts w:ascii="Times New Roman;Times;Serif" w:hAnsi="Times New Roman;Times;Serif"/>
          <w:b w:val="false"/>
          <w:i w:val="false"/>
          <w:caps w:val="false"/>
          <w:smallCaps w:val="false"/>
          <w:sz w:val="20"/>
        </w:rPr>
        <w:t>272,328 respectively, which is included in accounts payable - related parties in the accompanying consolidated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accrued for the management team, including related payroll taxes, was $</w:t>
      </w:r>
      <w:bookmarkStart w:id="312" w:name="xdx_907_ecustom--AccruedCompensation_pp0"/>
      <w:bookmarkEnd w:id="312"/>
      <w:r>
        <w:rPr>
          <w:rFonts w:ascii="Times New Roman;Times;Serif" w:hAnsi="Times New Roman;Times;Serif"/>
          <w:b w:val="false"/>
          <w:i w:val="false"/>
          <w:caps w:val="false"/>
          <w:smallCaps w:val="false"/>
          <w:sz w:val="20"/>
        </w:rPr>
        <w:t>255,099 and $</w:t>
      </w:r>
      <w:bookmarkStart w:id="313" w:name="xdx_90C_ecustom--AccruedCompensation_c20"/>
      <w:bookmarkEnd w:id="313"/>
      <w:r>
        <w:rPr>
          <w:rFonts w:ascii="Times New Roman;Times;Serif" w:hAnsi="Times New Roman;Times;Serif"/>
          <w:b w:val="false"/>
          <w:i w:val="false"/>
          <w:caps w:val="false"/>
          <w:smallCaps w:val="false"/>
          <w:sz w:val="20"/>
        </w:rPr>
        <w:t>734,874 as September 30, 2025 and December 31, 2024,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smallCaps/>
          <w:sz w:val="20"/>
        </w:rPr>
      </w:pPr>
      <w:bookmarkStart w:id="314" w:name="xdx_80B_ecustom--RelatedPartyLoansPayabl"/>
      <w:bookmarkEnd w:id="314"/>
      <w:r>
        <w:rPr>
          <w:rFonts w:ascii="Times New Roman;Times;Serif" w:hAnsi="Times New Roman;Times;Serif"/>
          <w:b/>
          <w:i w:val="false"/>
          <w:smallCaps/>
          <w:sz w:val="20"/>
        </w:rPr>
        <w:t xml:space="preserve">Note 4 – </w:t>
      </w:r>
      <w:bookmarkStart w:id="315" w:name="xdx_827_zXFpIIWLofe1"/>
      <w:bookmarkEnd w:id="315"/>
      <w:r>
        <w:rPr>
          <w:rFonts w:ascii="Times New Roman;Times;Serif" w:hAnsi="Times New Roman;Times;Serif"/>
          <w:b/>
          <w:i w:val="false"/>
          <w:smallCaps/>
          <w:sz w:val="20"/>
        </w:rPr>
        <w:t>Related Party Loans Payable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Bridge Loan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entered into a non-interest bearing, non-convertible promissory note with HCWG LLC (the “Bridge Loan”). Borrowings under the Bridge Loan carry a 50% (or 1 times cash amounts borrowed) original issue discount (“OID”) on principal and through subsequent amendments the maximum cash borrowing was increased to $</w:t>
      </w:r>
      <w:bookmarkStart w:id="316" w:name="xdx_90D_ecustom--MaximumBorrowing_c20230"/>
      <w:bookmarkEnd w:id="316"/>
      <w:r>
        <w:rPr>
          <w:rFonts w:ascii="Times New Roman;Times;Serif" w:hAnsi="Times New Roman;Times;Serif"/>
          <w:b w:val="false"/>
          <w:i w:val="false"/>
          <w:caps w:val="false"/>
          <w:smallCaps w:val="false"/>
          <w:sz w:val="20"/>
        </w:rPr>
        <w:t>10,000,000. The outstanding amounts under this Bridge Loan were payable at the earlier of the date the Company completes an IPO or December 4, 2024 (the “Maturity Date”).</w:t>
      </w:r>
    </w:p>
    <w:p>
      <w:pPr>
        <w:pStyle w:val="TextBody"/>
        <w:bidi w:val="0"/>
        <w:jc w:val="left"/>
        <w:rPr>
          <w:caps w:val="false"/>
          <w:smallCaps w:val="false"/>
        </w:rPr>
      </w:pPr>
      <w:bookmarkStart w:id="317" w:name="xdx_23D_zjocIUIbuGT5"/>
      <w:bookmarkEnd w:id="31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14, 2024, the Company reached an agreement with HCWG LLC to convert the outstanding principal and interest on the Bridge Loan into </w:t>
      </w:r>
      <w:bookmarkStart w:id="318" w:name="xdx_90D_eus-gaap--ConversionOfStockShare"/>
      <w:bookmarkEnd w:id="318"/>
      <w:r>
        <w:rPr>
          <w:rFonts w:ascii="Times New Roman;Times;Serif" w:hAnsi="Times New Roman;Times;Serif"/>
          <w:b w:val="false"/>
          <w:i w:val="false"/>
          <w:caps w:val="false"/>
          <w:smallCaps w:val="false"/>
          <w:sz w:val="20"/>
        </w:rPr>
        <w:t>979,039 shares of common stock. As a result of this conversion, the Bridge Loan was terminated and is no longer available to the Company for borrowing. The Company has a receivable due from HCWG LLC totaling $</w:t>
      </w:r>
      <w:bookmarkStart w:id="319" w:name="xdx_907_ecustom--DueFromRelatedParty_c20"/>
      <w:bookmarkStart w:id="320" w:name="xdx_90A_ecustom--DueFromRelatedParty_c20"/>
      <w:bookmarkEnd w:id="319"/>
      <w:bookmarkEnd w:id="320"/>
      <w:r>
        <w:rPr>
          <w:rFonts w:ascii="Times New Roman;Times;Serif" w:hAnsi="Times New Roman;Times;Serif"/>
          <w:b w:val="false"/>
          <w:i w:val="false"/>
          <w:caps w:val="false"/>
          <w:smallCaps w:val="false"/>
          <w:sz w:val="20"/>
        </w:rPr>
        <w:t>138,247 which is recorded within prepaid expenses and other on the condensed consolidated balance sheet at September 30, 2025 and December 31, 2024,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June 30, 2024, the Company had received under the Bridge Loan an aggregate of $</w:t>
      </w:r>
      <w:bookmarkStart w:id="321" w:name="xdx_908_eus-gaap--BridgeLoan_c20240630_p"/>
      <w:bookmarkEnd w:id="321"/>
      <w:r>
        <w:rPr>
          <w:rFonts w:ascii="Times New Roman;Times;Serif" w:hAnsi="Times New Roman;Times;Serif"/>
          <w:b w:val="false"/>
          <w:i w:val="false"/>
          <w:caps w:val="false"/>
          <w:smallCaps w:val="false"/>
          <w:sz w:val="20"/>
        </w:rPr>
        <w:t>7,116,335. The OID was recognized ratably over the term of each draw-down under the Bridge Loan through the Maturity Date unless settled earlier, at which point the accretion is accelerated. Accretion of the OID for nine months ended September 30, 2024, amounted to $</w:t>
      </w:r>
      <w:bookmarkStart w:id="322" w:name="xdx_901_eus-gaap--InterestExpenseOther_p"/>
      <w:bookmarkEnd w:id="322"/>
      <w:r>
        <w:rPr>
          <w:rFonts w:ascii="Times New Roman;Times;Serif" w:hAnsi="Times New Roman;Times;Serif"/>
          <w:b w:val="false"/>
          <w:i w:val="false"/>
          <w:caps w:val="false"/>
          <w:smallCaps w:val="false"/>
          <w:sz w:val="20"/>
        </w:rPr>
        <w:t>1,387,493, which is included in interest expense in the accompanying condensed consolidated statement of operations.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3" w:name="xdx_886_eus-gaap--ScheduleOfDebtTableTex"/>
      <w:bookmarkStart w:id="324" w:name="xdx_886_eus-gaap--ScheduleOfDebtTableTex"/>
      <w:bookmarkEnd w:id="324"/>
    </w:p>
    <w:tbl>
      <w:tblPr>
        <w:tblW w:w="5960" w:type="dxa"/>
        <w:jc w:val="left"/>
        <w:tblInd w:w="0" w:type="dxa"/>
        <w:tblLayout w:type="fixed"/>
        <w:tblCellMar>
          <w:top w:w="0" w:type="dxa"/>
          <w:left w:w="0" w:type="dxa"/>
          <w:bottom w:w="0" w:type="dxa"/>
          <w:right w:w="0" w:type="dxa"/>
        </w:tblCellMar>
      </w:tblPr>
      <w:tblGrid>
        <w:gridCol w:w="4415"/>
        <w:gridCol w:w="60"/>
        <w:gridCol w:w="140"/>
        <w:gridCol w:w="1175"/>
        <w:gridCol w:w="95"/>
        <w:gridCol w:w="75"/>
      </w:tblGrid>
      <w:tr>
        <w:trPr/>
        <w:tc>
          <w:tcPr>
            <w:tcW w:w="4415" w:type="dxa"/>
            <w:tcBorders/>
            <w:shd w:fill="FFFFFF" w:val="clear"/>
            <w:vAlign w:val="center"/>
          </w:tcPr>
          <w:p>
            <w:pPr>
              <w:pStyle w:val="TableContents"/>
              <w:bidi w:val="0"/>
              <w:spacing w:before="0" w:after="283"/>
              <w:ind w:left="0" w:right="0" w:hanging="180"/>
              <w:jc w:val="left"/>
              <w:rPr/>
            </w:pPr>
            <w:bookmarkStart w:id="325" w:name="xdx_8B5_zRR8EwsnYQQl"/>
            <w:bookmarkEnd w:id="325"/>
            <w:r>
              <w:rPr/>
              <w:t>Schedule of convertible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4"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Year Ended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December 31,</w:t>
              <w:br/>
              <w:t>2024</w:t>
            </w:r>
          </w:p>
        </w:tc>
        <w:tc>
          <w:tcPr>
            <w:tcW w:w="95" w:type="dxa"/>
            <w:tcBorders/>
            <w:vAlign w:val="center"/>
          </w:tcPr>
          <w:p>
            <w:pPr>
              <w:pStyle w:val="TableContents"/>
              <w:bidi w:val="0"/>
              <w:spacing w:before="0" w:after="283"/>
              <w:ind w:left="0" w:right="0" w:hanging="180"/>
              <w:jc w:val="left"/>
              <w:rPr/>
            </w:pPr>
            <w:r>
              <w:rPr/>
              <w:t> </w:t>
            </w:r>
          </w:p>
        </w:tc>
        <w:tc>
          <w:tcPr>
            <w:tcW w:w="75" w:type="dxa"/>
            <w:tcBorders/>
          </w:tcPr>
          <w:p>
            <w:pPr>
              <w:pStyle w:val="TableContents"/>
              <w:bidi w:val="0"/>
              <w:spacing w:before="0" w:after="283"/>
              <w:jc w:val="left"/>
              <w:rPr>
                <w:sz w:val="4"/>
                <w:szCs w:val="4"/>
              </w:rPr>
            </w:pPr>
            <w:r>
              <w:rPr>
                <w:sz w:val="4"/>
                <w:szCs w:val="4"/>
              </w:rPr>
            </w:r>
          </w:p>
        </w:tc>
      </w:tr>
      <w:tr>
        <w:trPr/>
        <w:tc>
          <w:tcPr>
            <w:tcW w:w="4415" w:type="dxa"/>
            <w:tcBorders/>
            <w:shd w:fill="CCEEFF" w:val="clear"/>
            <w:vAlign w:val="center"/>
          </w:tcPr>
          <w:p>
            <w:pPr>
              <w:pStyle w:val="TableContents"/>
              <w:bidi w:val="0"/>
              <w:spacing w:before="0" w:after="283"/>
              <w:jc w:val="left"/>
              <w:rPr>
                <w:b/>
              </w:rPr>
            </w:pPr>
            <w:r>
              <w:rPr>
                <w:b/>
              </w:rPr>
              <w:t>Bridge loan – carrying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4415" w:type="dxa"/>
            <w:tcBorders/>
            <w:shd w:fill="CCEEFF" w:val="clear"/>
            <w:vAlign w:val="center"/>
          </w:tcPr>
          <w:p>
            <w:pPr>
              <w:pStyle w:val="TableContents"/>
              <w:bidi w:val="0"/>
              <w:spacing w:before="0" w:after="283"/>
              <w:jc w:val="left"/>
              <w:rPr/>
            </w:pPr>
            <w:r>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bookmarkStart w:id="326" w:name="xdx_900_eus-gaap--LoansPayableCurrent_iS"/>
            <w:bookmarkEnd w:id="326"/>
            <w:r>
              <w:rPr/>
              <w:t>9,802,697</w:t>
            </w:r>
          </w:p>
        </w:tc>
        <w:tc>
          <w:tcPr>
            <w:tcW w:w="95" w:type="dxa"/>
            <w:tcBorders/>
            <w:shd w:fill="CCEEFF" w:val="clear"/>
            <w:vAlign w:val="center"/>
          </w:tcPr>
          <w:p>
            <w:pPr>
              <w:pStyle w:val="TableContents"/>
              <w:bidi w:val="0"/>
              <w:spacing w:before="0" w:after="283"/>
              <w:ind w:left="0" w:right="0" w:hanging="180"/>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327" w:name="xdx_904_eus-gaap--ProceedsFromNotesPayab"/>
            <w:bookmarkEnd w:id="327"/>
            <w:r>
              <w:rPr/>
              <w:t>1,368,422</w:t>
            </w:r>
          </w:p>
        </w:tc>
        <w:tc>
          <w:tcPr>
            <w:tcW w:w="95" w:type="dxa"/>
            <w:tcBorders/>
            <w:shd w:fill="FFFFFF" w:val="clear"/>
            <w:vAlign w:val="center"/>
          </w:tcPr>
          <w:p>
            <w:pPr>
              <w:pStyle w:val="TableContents"/>
              <w:bidi w:val="0"/>
              <w:spacing w:before="0" w:after="283"/>
              <w:ind w:left="0" w:right="0" w:hanging="180"/>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4415" w:type="dxa"/>
            <w:tcBorders/>
            <w:shd w:fill="CCEEFF" w:val="clear"/>
            <w:vAlign w:val="center"/>
          </w:tcPr>
          <w:p>
            <w:pPr>
              <w:pStyle w:val="TableContents"/>
              <w:bidi w:val="0"/>
              <w:spacing w:before="0" w:after="283"/>
              <w:jc w:val="left"/>
              <w:rPr/>
            </w:pPr>
            <w:r>
              <w:rPr/>
              <w:t>OID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328" w:name="xdx_906_ecustom--OriginalIssueDiscount_p"/>
            <w:bookmarkEnd w:id="328"/>
            <w:r>
              <w:rPr/>
              <w:t>1,368,422</w:t>
            </w:r>
          </w:p>
        </w:tc>
        <w:tc>
          <w:tcPr>
            <w:tcW w:w="95" w:type="dxa"/>
            <w:tcBorders/>
            <w:shd w:fill="CCEEFF" w:val="clear"/>
            <w:vAlign w:val="center"/>
          </w:tcPr>
          <w:p>
            <w:pPr>
              <w:pStyle w:val="TableContents"/>
              <w:bidi w:val="0"/>
              <w:spacing w:before="0" w:after="283"/>
              <w:ind w:left="0" w:right="0" w:hanging="180"/>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Repayments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bottom w:w="28" w:type="dxa"/>
            </w:tcMar>
            <w:vAlign w:val="center"/>
          </w:tcPr>
          <w:p>
            <w:pPr>
              <w:pStyle w:val="TableContents"/>
              <w:bidi w:val="0"/>
              <w:spacing w:before="0" w:after="283"/>
              <w:jc w:val="right"/>
              <w:rPr/>
            </w:pPr>
            <w:bookmarkStart w:id="329" w:name="xdx_90A_eus-gaap--RepaymentsOfNotesPayab"/>
            <w:bookmarkEnd w:id="329"/>
            <w:r>
              <w:rPr/>
              <w:t>(791,077</w:t>
            </w:r>
          </w:p>
        </w:tc>
        <w:tc>
          <w:tcPr>
            <w:tcW w:w="95" w:type="dxa"/>
            <w:tcBorders/>
            <w:shd w:fill="FFFFFF" w:val="clear"/>
            <w:vAlign w:val="center"/>
          </w:tcPr>
          <w:p>
            <w:pPr>
              <w:pStyle w:val="TableContents"/>
              <w:bidi w:val="0"/>
              <w:spacing w:before="0" w:after="283"/>
              <w:ind w:left="0" w:right="0" w:hanging="180"/>
              <w:jc w:val="left"/>
              <w:rPr/>
            </w:pPr>
            <w:r>
              <w:rPr/>
              <w:t>)</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4415" w:type="dxa"/>
            <w:tcBorders/>
            <w:shd w:fill="CCEEFF" w:val="clear"/>
            <w:vAlign w:val="center"/>
          </w:tcPr>
          <w:p>
            <w:pPr>
              <w:pStyle w:val="TableContents"/>
              <w:bidi w:val="0"/>
              <w:spacing w:before="0" w:after="283"/>
              <w:jc w:val="left"/>
              <w:rPr/>
            </w:pPr>
            <w:r>
              <w:rPr/>
              <w:t>Total principal outstanding before conversion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4" w:space="0" w:color="000000"/>
            </w:tcBorders>
            <w:shd w:fill="CCEEFF" w:val="clear"/>
            <w:tcMar>
              <w:bottom w:w="28" w:type="dxa"/>
            </w:tcMar>
            <w:vAlign w:val="center"/>
          </w:tcPr>
          <w:p>
            <w:pPr>
              <w:pStyle w:val="TableContents"/>
              <w:bidi w:val="0"/>
              <w:spacing w:before="0" w:after="283"/>
              <w:jc w:val="right"/>
              <w:rPr/>
            </w:pPr>
            <w:bookmarkStart w:id="330" w:name="xdx_902_eus-gaap--LoansPayableCurrent_iE"/>
            <w:bookmarkEnd w:id="330"/>
            <w:r>
              <w:rPr/>
              <w:t>11,748,464</w:t>
            </w:r>
          </w:p>
        </w:tc>
        <w:tc>
          <w:tcPr>
            <w:tcW w:w="95" w:type="dxa"/>
            <w:tcBorders/>
            <w:shd w:fill="CCEEFF" w:val="clear"/>
            <w:vAlign w:val="center"/>
          </w:tcPr>
          <w:p>
            <w:pPr>
              <w:pStyle w:val="TableContents"/>
              <w:bidi w:val="0"/>
              <w:spacing w:before="0" w:after="283"/>
              <w:ind w:left="0" w:right="0" w:hanging="180"/>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Conversion to common stock (June, 14,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bottom w:w="28" w:type="dxa"/>
            </w:tcMar>
            <w:vAlign w:val="center"/>
          </w:tcPr>
          <w:p>
            <w:pPr>
              <w:pStyle w:val="TableContents"/>
              <w:bidi w:val="0"/>
              <w:spacing w:before="0" w:after="283"/>
              <w:jc w:val="right"/>
              <w:rPr/>
            </w:pPr>
            <w:bookmarkStart w:id="331" w:name="xdx_900_eus-gaap--ConversionOfStockAmoun"/>
            <w:bookmarkEnd w:id="331"/>
            <w:r>
              <w:rPr/>
              <w:t>(11,748,464</w:t>
            </w:r>
          </w:p>
        </w:tc>
        <w:tc>
          <w:tcPr>
            <w:tcW w:w="95" w:type="dxa"/>
            <w:tcBorders/>
            <w:shd w:fill="FFFFFF" w:val="clear"/>
            <w:vAlign w:val="center"/>
          </w:tcPr>
          <w:p>
            <w:pPr>
              <w:pStyle w:val="TableContents"/>
              <w:bidi w:val="0"/>
              <w:spacing w:before="0" w:after="283"/>
              <w:ind w:left="0" w:right="0" w:hanging="180"/>
              <w:jc w:val="left"/>
              <w:rPr/>
            </w:pPr>
            <w:r>
              <w:rPr/>
              <w:t>)</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4415" w:type="dxa"/>
            <w:tcBorders/>
            <w:shd w:fill="CCEEFF" w:val="clear"/>
            <w:vAlign w:val="center"/>
          </w:tcPr>
          <w:p>
            <w:pPr>
              <w:pStyle w:val="TableContents"/>
              <w:bidi w:val="0"/>
              <w:spacing w:before="0" w:after="283"/>
              <w:jc w:val="left"/>
              <w:rPr/>
            </w:pPr>
            <w:r>
              <w:rPr/>
              <w:t>Principal outstanding 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32" w:name="xdx_90F_eus-gaap--DebtInstrumentFaceAmou"/>
            <w:bookmarkEnd w:id="332"/>
            <w:r>
              <w:rPr/>
              <w:t>-</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bookmarkStart w:id="333" w:name="xdx_8A4_zZ0o4tRgFUDe"/>
      <w:bookmarkEnd w:id="333"/>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Advances from Executive Chairman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our Executive Chairman advanced the Company approximately $</w:t>
      </w:r>
      <w:bookmarkStart w:id="334" w:name="xdx_90E_eus-gaap--ProceedsFromRelatedPar"/>
      <w:bookmarkEnd w:id="334"/>
      <w:r>
        <w:rPr>
          <w:rFonts w:ascii="Times New Roman;Times;Serif" w:hAnsi="Times New Roman;Times;Serif"/>
          <w:b w:val="false"/>
          <w:i w:val="false"/>
          <w:caps w:val="false"/>
          <w:smallCaps w:val="false"/>
          <w:sz w:val="20"/>
        </w:rPr>
        <w:t>300,000. The advances carry a 50% (or 1 times amounts borrowed) original issue discount (“OID”) on the principal. On March 10, 2025, the advance and 1x interest was repaid. Interest expense in the amount of $</w:t>
      </w:r>
      <w:bookmarkStart w:id="335" w:name="xdx_90A_eus-gaap--InterestExpense_pp0d_c"/>
      <w:bookmarkEnd w:id="335"/>
      <w:r>
        <w:rPr>
          <w:rFonts w:ascii="Times New Roman;Times;Serif" w:hAnsi="Times New Roman;Times;Serif"/>
          <w:b w:val="false"/>
          <w:i w:val="false"/>
          <w:caps w:val="false"/>
          <w:smallCaps w:val="false"/>
          <w:sz w:val="20"/>
        </w:rPr>
        <w:t>300,000 is included in the condensed consolidated statement of operations as interest expense – related parties for the nine months ended September 30, 2025.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6" w:name="xdx_805_ecustom--ConvertibleDebtTextBloc"/>
      <w:bookmarkEnd w:id="336"/>
      <w:r>
        <w:rPr>
          <w:rFonts w:ascii="Times New Roman;Times;Serif" w:hAnsi="Times New Roman;Times;Serif"/>
          <w:b/>
          <w:i w:val="false"/>
          <w:caps w:val="false"/>
          <w:smallCaps w:val="false"/>
          <w:sz w:val="20"/>
        </w:rPr>
        <w:t xml:space="preserve">NOTE 5  </w:t>
      </w:r>
      <w:bookmarkStart w:id="337" w:name="xdx_82B_zXDQw7XhMOrk"/>
      <w:bookmarkEnd w:id="337"/>
      <w:r>
        <w:rPr>
          <w:rFonts w:ascii="Times New Roman;Times;Serif" w:hAnsi="Times New Roman;Times;Serif"/>
          <w:b/>
          <w:i w:val="false"/>
          <w:smallCaps/>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and July 18, 2025, the Company entered into a series of convertible promissory notes with a group of investors for the aggregate purchase price of $</w:t>
      </w:r>
      <w:bookmarkStart w:id="338" w:name="xdx_906_eus-gaap--ProceedsFromConvertibl"/>
      <w:bookmarkEnd w:id="338"/>
      <w:r>
        <w:rPr>
          <w:rFonts w:ascii="Times New Roman;Times;Serif" w:hAnsi="Times New Roman;Times;Serif"/>
          <w:b w:val="false"/>
          <w:i w:val="false"/>
          <w:caps w:val="false"/>
          <w:smallCaps w:val="false"/>
          <w:sz w:val="20"/>
        </w:rPr>
        <w:t>4,000,000 (the “Notes”). The Notes are payable three months after origination for a total amount of $</w:t>
      </w:r>
      <w:bookmarkStart w:id="339" w:name="xdx_909_eus-gaap--DebtInstrumentFaceAmou"/>
      <w:bookmarkEnd w:id="339"/>
      <w:r>
        <w:rPr>
          <w:rFonts w:ascii="Times New Roman;Times;Serif" w:hAnsi="Times New Roman;Times;Serif"/>
          <w:b w:val="false"/>
          <w:i w:val="false"/>
          <w:caps w:val="false"/>
          <w:smallCaps w:val="false"/>
          <w:sz w:val="20"/>
        </w:rPr>
        <w:t>5 million (20% OID). The Company may extend the payment date for up to three additional one-month periods with the OID on the Notes increasing to 25%, 30% and 35% with respect to any such monthly extensions. Further, upon the occurrence of an Event of Default, as that term is defined in the Notes, the Notes shall be convertible at the option of the holders into shares of the Common stock of the Company at a price equal to 80% of the lowest closing sale price of the Company’s common stock as reported on the Nasdaq Global Market on any trading day during the five (5) trading days prior to the respective conversion date. The Company also recorded debt issuance cost of $</w:t>
      </w:r>
      <w:bookmarkStart w:id="340" w:name="xdx_903_eus-gaap--DebtInstrumentCarrying"/>
      <w:bookmarkEnd w:id="340"/>
      <w:r>
        <w:rPr>
          <w:rFonts w:ascii="Times New Roman;Times;Serif" w:hAnsi="Times New Roman;Times;Serif"/>
          <w:b w:val="false"/>
          <w:i w:val="false"/>
          <w:caps w:val="false"/>
          <w:smallCaps w:val="false"/>
          <w:sz w:val="20"/>
        </w:rPr>
        <w:t>320,000 to be amortized as interest expense over the term of the loan using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ASU 2020-06, the Company accounts for the convertible notes as a single liability instrument. The notes are recorded at amortized cost, and interest expense is recognized using the effective interest method. The effective interest rate on the notes is approximately 7.72% per annum, which reflects the amortization of issuance costs and original issuance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September 30, 2025, interest expense of $</w:t>
      </w:r>
      <w:bookmarkStart w:id="341" w:name="xdx_904_eus-gaap--InterestExpenseDebt_c2"/>
      <w:bookmarkEnd w:id="341"/>
      <w:r>
        <w:rPr>
          <w:rFonts w:ascii="Times New Roman;Times;Serif" w:hAnsi="Times New Roman;Times;Serif"/>
          <w:b w:val="false"/>
          <w:i w:val="false"/>
          <w:caps w:val="false"/>
          <w:smallCaps w:val="false"/>
          <w:sz w:val="20"/>
        </w:rPr>
        <w:t>1,020,794 was recognized from the accretion of OID and accretion of the debt issuance cost. Subsequent to September 30, 2025, the Company exercised the first of three available extensions on the convertible promissory notes. The notes are now set to mature on November 16,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342" w:name="xdx_231_zVxbNQp0J2fd"/>
      <w:bookmarkEnd w:id="34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outstanding Notes as of September 30, 2025:</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3" w:name="xdx_881_eus-gaap--ConvertibleDebtTableTe"/>
      <w:bookmarkStart w:id="344" w:name="xdx_881_eus-gaap--ConvertibleDebtTableTe"/>
      <w:bookmarkEnd w:id="344"/>
    </w:p>
    <w:tbl>
      <w:tblPr>
        <w:tblW w:w="6284" w:type="dxa"/>
        <w:jc w:val="left"/>
        <w:tblInd w:w="0" w:type="dxa"/>
        <w:tblLayout w:type="fixed"/>
        <w:tblCellMar>
          <w:top w:w="0" w:type="dxa"/>
          <w:left w:w="0" w:type="dxa"/>
          <w:bottom w:w="0" w:type="dxa"/>
          <w:right w:w="0" w:type="dxa"/>
        </w:tblCellMar>
      </w:tblPr>
      <w:tblGrid>
        <w:gridCol w:w="4445"/>
        <w:gridCol w:w="60"/>
        <w:gridCol w:w="208"/>
        <w:gridCol w:w="1461"/>
        <w:gridCol w:w="110"/>
      </w:tblGrid>
      <w:tr>
        <w:trPr/>
        <w:tc>
          <w:tcPr>
            <w:tcW w:w="4445" w:type="dxa"/>
            <w:tcBorders/>
            <w:shd w:fill="FFFFFF" w:val="clear"/>
            <w:vAlign w:val="center"/>
          </w:tcPr>
          <w:p>
            <w:pPr>
              <w:pStyle w:val="TableContents"/>
              <w:bidi w:val="0"/>
              <w:spacing w:before="0" w:after="283"/>
              <w:ind w:left="0" w:right="0" w:hanging="180"/>
              <w:jc w:val="left"/>
              <w:rPr/>
            </w:pPr>
            <w:bookmarkStart w:id="345" w:name="xdx_8BD_z7oqBYaJilM6"/>
            <w:bookmarkEnd w:id="345"/>
            <w:r>
              <w:rPr/>
              <w:t>Schedule of convertible debt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bookmarkStart w:id="346" w:name="xdx_491_20250101__20250930_zbpLAXBZ7Nji"/>
            <w:bookmarkEnd w:id="346"/>
          </w:p>
        </w:tc>
        <w:tc>
          <w:tcPr>
            <w:tcW w:w="14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br/>
              <w:t>September 30,</w:t>
              <w:br/>
              <w:t>2025</w:t>
            </w:r>
          </w:p>
        </w:tc>
        <w:tc>
          <w:tcPr>
            <w:tcW w:w="110" w:type="dxa"/>
            <w:tcBorders/>
            <w:vAlign w:val="center"/>
          </w:tcPr>
          <w:p>
            <w:pPr>
              <w:pStyle w:val="TableContents"/>
              <w:bidi w:val="0"/>
              <w:spacing w:before="0" w:after="283"/>
              <w:ind w:left="0" w:right="0" w:hanging="180"/>
              <w:jc w:val="center"/>
              <w:rPr/>
            </w:pPr>
            <w:r>
              <w:rPr/>
              <w:t> </w:t>
            </w:r>
            <w:bookmarkStart w:id="347" w:name="xdx_402_ecustom--PurchasePriceOfConverti"/>
            <w:bookmarkEnd w:id="347"/>
          </w:p>
        </w:tc>
      </w:tr>
      <w:tr>
        <w:trPr/>
        <w:tc>
          <w:tcPr>
            <w:tcW w:w="4445" w:type="dxa"/>
            <w:tcBorders/>
            <w:shd w:fill="CCEEFF" w:val="clear"/>
            <w:vAlign w:val="center"/>
          </w:tcPr>
          <w:p>
            <w:pPr>
              <w:pStyle w:val="TableContents"/>
              <w:bidi w:val="0"/>
              <w:spacing w:before="0" w:after="283"/>
              <w:jc w:val="left"/>
              <w:rPr/>
            </w:pPr>
            <w:r>
              <w:rPr/>
              <w:t>Purchase price of convertible promissory notes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ind w:left="0" w:right="0" w:hanging="180"/>
              <w:jc w:val="left"/>
              <w:rPr/>
            </w:pPr>
            <w:r>
              <w:rPr/>
              <w:t> </w:t>
            </w:r>
            <w:bookmarkStart w:id="348" w:name="xdx_40F_ecustom--LessUnamortizedOriginal"/>
            <w:bookmarkEnd w:id="348"/>
          </w:p>
        </w:tc>
      </w:tr>
      <w:tr>
        <w:trPr/>
        <w:tc>
          <w:tcPr>
            <w:tcW w:w="4445" w:type="dxa"/>
            <w:tcBorders/>
            <w:shd w:fill="FFFFFF" w:val="clear"/>
            <w:vAlign w:val="center"/>
          </w:tcPr>
          <w:p>
            <w:pPr>
              <w:pStyle w:val="TableContents"/>
              <w:bidi w:val="0"/>
              <w:spacing w:before="0" w:after="283"/>
              <w:jc w:val="left"/>
              <w:rPr/>
            </w:pPr>
            <w:r>
              <w:rPr/>
              <w:t>Less: unamortized original issuance discount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(179,206</w:t>
            </w:r>
          </w:p>
        </w:tc>
        <w:tc>
          <w:tcPr>
            <w:tcW w:w="110" w:type="dxa"/>
            <w:tcBorders/>
            <w:shd w:fill="FFFFFF" w:val="clear"/>
            <w:vAlign w:val="center"/>
          </w:tcPr>
          <w:p>
            <w:pPr>
              <w:pStyle w:val="TableContents"/>
              <w:bidi w:val="0"/>
              <w:spacing w:before="0" w:after="283"/>
              <w:ind w:left="0" w:right="0" w:hanging="180"/>
              <w:jc w:val="left"/>
              <w:rPr/>
            </w:pPr>
            <w:r>
              <w:rPr/>
              <w:t>)</w:t>
            </w:r>
            <w:bookmarkStart w:id="349" w:name="xdx_40F_ecustom--LessUnamortizedDebtIssu"/>
            <w:bookmarkEnd w:id="349"/>
          </w:p>
        </w:tc>
      </w:tr>
      <w:tr>
        <w:trPr/>
        <w:tc>
          <w:tcPr>
            <w:tcW w:w="4445" w:type="dxa"/>
            <w:tcBorders/>
            <w:shd w:fill="CCEEFF" w:val="clear"/>
            <w:vAlign w:val="center"/>
          </w:tcPr>
          <w:p>
            <w:pPr>
              <w:pStyle w:val="TableContents"/>
              <w:bidi w:val="0"/>
              <w:spacing w:before="0" w:after="283"/>
              <w:jc w:val="left"/>
              <w:rPr/>
            </w:pPr>
            <w:r>
              <w:rPr/>
              <w:t>Less: unamortized debt issuance cost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pPr>
            <w:r>
              <w:rPr/>
              <w:t>(120,000</w:t>
            </w:r>
          </w:p>
        </w:tc>
        <w:tc>
          <w:tcPr>
            <w:tcW w:w="110" w:type="dxa"/>
            <w:tcBorders/>
            <w:shd w:fill="CCEEFF" w:val="clear"/>
            <w:vAlign w:val="center"/>
          </w:tcPr>
          <w:p>
            <w:pPr>
              <w:pStyle w:val="TableContents"/>
              <w:bidi w:val="0"/>
              <w:spacing w:before="0" w:after="283"/>
              <w:ind w:left="0" w:right="0" w:hanging="180"/>
              <w:jc w:val="left"/>
              <w:rPr/>
            </w:pPr>
            <w:r>
              <w:rPr/>
              <w:t>)</w:t>
            </w:r>
            <w:bookmarkStart w:id="350" w:name="xdx_409_ecustom--NetConvertiblePromissor"/>
            <w:bookmarkEnd w:id="350"/>
          </w:p>
        </w:tc>
      </w:tr>
      <w:tr>
        <w:trPr/>
        <w:tc>
          <w:tcPr>
            <w:tcW w:w="4445" w:type="dxa"/>
            <w:tcBorders/>
            <w:shd w:fill="FFFFFF" w:val="clear"/>
            <w:vAlign w:val="center"/>
          </w:tcPr>
          <w:p>
            <w:pPr>
              <w:pStyle w:val="TableContents"/>
              <w:bidi w:val="0"/>
              <w:spacing w:before="0" w:after="283"/>
              <w:jc w:val="left"/>
              <w:rPr/>
            </w:pPr>
            <w:r>
              <w:rPr/>
              <w:t>Net convertible promissory note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pPr>
            <w:r>
              <w:rPr/>
              <w:t>4,700,794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51" w:name="xdx_808_eus-gaap--LeasesOfLesseeDisclosu"/>
      <w:bookmarkEnd w:id="351"/>
      <w:r>
        <w:rPr>
          <w:rFonts w:ascii="Times New Roman;Times;Serif" w:hAnsi="Times New Roman;Times;Serif"/>
          <w:b/>
          <w:i w:val="false"/>
          <w:smallCaps/>
          <w:sz w:val="20"/>
        </w:rPr>
        <w:t xml:space="preserve">Note </w:t>
      </w:r>
      <w:r>
        <w:rPr>
          <w:rFonts w:ascii="Times New Roman;Times;Serif" w:hAnsi="Times New Roman;Times;Serif"/>
          <w:b/>
          <w:i w:val="false"/>
          <w:caps w:val="false"/>
          <w:smallCaps w:val="false"/>
          <w:sz w:val="20"/>
        </w:rPr>
        <w:t xml:space="preserve">6 – </w:t>
      </w:r>
      <w:bookmarkStart w:id="352" w:name="xdx_824_zMaYAViaDkR5"/>
      <w:bookmarkEnd w:id="352"/>
      <w:r>
        <w:rPr>
          <w:rFonts w:ascii="Times New Roman;Times;Serif" w:hAnsi="Times New Roman;Times;Serif"/>
          <w:b/>
          <w:i w:val="false"/>
          <w:smallCaps/>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the Company entered a 24-month lease for office space, which calls for a monthly base rent of $</w:t>
      </w:r>
      <w:bookmarkStart w:id="353" w:name="xdx_90C_ecustom--BaseRent_c20240130__202"/>
      <w:bookmarkEnd w:id="353"/>
      <w:r>
        <w:rPr>
          <w:rFonts w:ascii="Times New Roman;Times;Serif" w:hAnsi="Times New Roman;Times;Serif"/>
          <w:b w:val="false"/>
          <w:i w:val="false"/>
          <w:caps w:val="false"/>
          <w:smallCaps w:val="false"/>
          <w:sz w:val="20"/>
        </w:rPr>
        <w:t xml:space="preserve">25,000, increasing at </w:t>
      </w:r>
      <w:bookmarkStart w:id="354" w:name="xdx_901_ecustom--LeaseIncreasesPercentag"/>
      <w:bookmarkEnd w:id="354"/>
      <w:r>
        <w:rPr>
          <w:rFonts w:ascii="Times New Roman;Times;Serif" w:hAnsi="Times New Roman;Times;Serif"/>
          <w:b w:val="false"/>
          <w:i w:val="false"/>
          <w:caps w:val="false"/>
          <w:smallCaps w:val="false"/>
          <w:sz w:val="20"/>
        </w:rPr>
        <w:t>3% per annum. The Company has only one operating lease and has no financing leases. The Company’s lease does not contain options to renew or extend the lease term or options to terminate leases early, except for insolvency. On November 27, 2024, the Company amended the lease expiration date from January 31, 2026, to January 31, 2025. As of December 31, 2024, the consolidated balance sheet reflects a right-of-use asset of $</w:t>
      </w:r>
      <w:bookmarkStart w:id="355" w:name="xdx_904_eus-gaap--FinanceLeaseRightOfUse"/>
      <w:bookmarkEnd w:id="355"/>
      <w:r>
        <w:rPr>
          <w:rFonts w:ascii="Times New Roman;Times;Serif" w:hAnsi="Times New Roman;Times;Serif"/>
          <w:b w:val="false"/>
          <w:i w:val="false"/>
          <w:caps w:val="false"/>
          <w:smallCaps w:val="false"/>
          <w:sz w:val="20"/>
        </w:rPr>
        <w:t>23,526 and a lease liability of $</w:t>
      </w:r>
      <w:bookmarkStart w:id="356" w:name="xdx_901_eus-gaap--OperatingLeaseLiabilit"/>
      <w:bookmarkEnd w:id="356"/>
      <w:r>
        <w:rPr>
          <w:rFonts w:ascii="Times New Roman;Times;Serif" w:hAnsi="Times New Roman;Times;Serif"/>
          <w:b w:val="false"/>
          <w:i w:val="false"/>
          <w:caps w:val="false"/>
          <w:smallCaps w:val="false"/>
          <w:sz w:val="20"/>
        </w:rPr>
        <w:t>24,722. The lease liability was computed using an interest rate of </w:t>
      </w:r>
      <w:bookmarkStart w:id="357" w:name="xdx_900_eus-gaap--LesseeOperatingLeaseDi"/>
      <w:bookmarkEnd w:id="357"/>
      <w:r>
        <w:rPr>
          <w:rFonts w:ascii="Times New Roman;Times;Serif" w:hAnsi="Times New Roman;Times;Serif"/>
          <w:b w:val="false"/>
          <w:i w:val="false"/>
          <w:caps w:val="false"/>
          <w:smallCaps w:val="false"/>
          <w:sz w:val="20"/>
        </w:rPr>
        <w:t>13.49%.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entered into a 63 month lease for office space which calls for a monthly base rent of $</w:t>
      </w:r>
      <w:bookmarkStart w:id="358" w:name="xdx_904_ecustom--BaseRent_c20250401__202"/>
      <w:bookmarkEnd w:id="358"/>
      <w:r>
        <w:rPr>
          <w:rFonts w:ascii="Times New Roman;Times;Serif" w:hAnsi="Times New Roman;Times;Serif"/>
          <w:b w:val="false"/>
          <w:i w:val="false"/>
          <w:caps w:val="false"/>
          <w:smallCaps w:val="false"/>
          <w:sz w:val="20"/>
        </w:rPr>
        <w:t xml:space="preserve">6,778, increasing at approximately </w:t>
      </w:r>
      <w:bookmarkStart w:id="359" w:name="xdx_90A_ecustom--LeaseIncreasesPercentag"/>
      <w:bookmarkEnd w:id="359"/>
      <w:r>
        <w:rPr>
          <w:rFonts w:ascii="Times New Roman;Times;Serif" w:hAnsi="Times New Roman;Times;Serif"/>
          <w:b w:val="false"/>
          <w:i w:val="false"/>
          <w:caps w:val="false"/>
          <w:smallCaps w:val="false"/>
          <w:sz w:val="20"/>
        </w:rPr>
        <w:t xml:space="preserve">3% per annum. The lease liability was computed using an interest rate of </w:t>
      </w:r>
      <w:bookmarkStart w:id="360" w:name="xdx_90A_eus-gaap--LesseeOperatingLeaseDi"/>
      <w:bookmarkEnd w:id="360"/>
      <w:r>
        <w:rPr>
          <w:rFonts w:ascii="Times New Roman;Times;Serif" w:hAnsi="Times New Roman;Times;Serif"/>
          <w:b w:val="false"/>
          <w:i w:val="false"/>
          <w:caps w:val="false"/>
          <w:smallCaps w:val="false"/>
          <w:sz w:val="20"/>
        </w:rPr>
        <w:t xml:space="preserve">3.72% and as of September 30, 2025 the lease has a remaining </w:t>
      </w:r>
      <w:bookmarkStart w:id="361" w:name="xdx_904_eus-gaap--LesseeOperatingLeaseTe"/>
      <w:bookmarkEnd w:id="361"/>
      <w:r>
        <w:rPr>
          <w:rFonts w:ascii="Times New Roman;Times;Serif" w:hAnsi="Times New Roman;Times;Serif"/>
          <w:b w:val="false"/>
          <w:i w:val="false"/>
          <w:caps w:val="false"/>
          <w:smallCaps w:val="false"/>
          <w:sz w:val="20"/>
        </w:rPr>
        <w:t>58 months. In calculating the present value of future lease payments, the Company utilized its incremental borrowing rate based on the lease term. The Company’s net lease non-lease components (e.g., standard area maintenance, maintenance, consumables, etc.) are paid separately from rent based on actual costs incurred and, therefore, are not included in the right-of-use asset and lease liability and are reflected as an expense in the period incurred. At September 30, 2025 the consolidated balance sheet reflects a right-of-use asset of $</w:t>
      </w:r>
      <w:bookmarkStart w:id="362" w:name="xdx_90B_eus-gaap--OperatingLeaseRightOfU"/>
      <w:bookmarkEnd w:id="362"/>
      <w:r>
        <w:rPr>
          <w:rFonts w:ascii="Times New Roman;Times;Serif" w:hAnsi="Times New Roman;Times;Serif"/>
          <w:b w:val="false"/>
          <w:i w:val="false"/>
          <w:caps w:val="false"/>
          <w:smallCaps w:val="false"/>
          <w:sz w:val="20"/>
        </w:rPr>
        <w:t>379,509 and a lease liability of $378,741.</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lease expense of $</w:t>
      </w:r>
      <w:bookmarkStart w:id="363" w:name="xdx_90A_eus-gaap--OperatingLeaseExpense_"/>
      <w:bookmarkEnd w:id="363"/>
      <w:r>
        <w:rPr>
          <w:rFonts w:ascii="Times New Roman;Times;Serif" w:hAnsi="Times New Roman;Times;Serif"/>
          <w:b w:val="false"/>
          <w:i w:val="false"/>
          <w:caps w:val="false"/>
          <w:smallCaps w:val="false"/>
          <w:sz w:val="20"/>
        </w:rPr>
        <w:t>21,781 and $</w:t>
      </w:r>
      <w:bookmarkStart w:id="364" w:name="xdx_908_eus-gaap--OperatingLeaseExpense_"/>
      <w:bookmarkEnd w:id="364"/>
      <w:r>
        <w:rPr>
          <w:rFonts w:ascii="Times New Roman;Times;Serif" w:hAnsi="Times New Roman;Times;Serif"/>
          <w:b w:val="false"/>
          <w:i w:val="false"/>
          <w:caps w:val="false"/>
          <w:smallCaps w:val="false"/>
          <w:sz w:val="20"/>
        </w:rPr>
        <w:t>102,704 during the three months ended September 30, 2025 and 2024, respectively, and $</w:t>
      </w:r>
      <w:bookmarkStart w:id="365" w:name="xdx_90C_eus-gaap--OperatingLeaseExpense_"/>
      <w:bookmarkEnd w:id="365"/>
      <w:r>
        <w:rPr>
          <w:rFonts w:ascii="Times New Roman;Times;Serif" w:hAnsi="Times New Roman;Times;Serif"/>
          <w:b w:val="false"/>
          <w:i w:val="false"/>
          <w:caps w:val="false"/>
          <w:smallCaps w:val="false"/>
          <w:sz w:val="20"/>
        </w:rPr>
        <w:t>43,743 and $</w:t>
      </w:r>
      <w:bookmarkStart w:id="366" w:name="xdx_90D_eus-gaap--OperatingLeaseExpense_"/>
      <w:bookmarkEnd w:id="366"/>
      <w:r>
        <w:rPr>
          <w:rFonts w:ascii="Times New Roman;Times;Serif" w:hAnsi="Times New Roman;Times;Serif"/>
          <w:b w:val="false"/>
          <w:i w:val="false"/>
          <w:caps w:val="false"/>
          <w:smallCaps w:val="false"/>
          <w:sz w:val="20"/>
        </w:rPr>
        <w:t>214,497 during the nine months ended September 30, 2025, and 2024, respectively, within general and administrative expenses on the condensed consolidated statements of operations. Cash paid for amounts included in the measurement of lease liability was $</w:t>
      </w:r>
      <w:bookmarkStart w:id="367" w:name="xdx_901_ecustom--CashPaidForAmountsInclu"/>
      <w:bookmarkEnd w:id="367"/>
      <w:r>
        <w:rPr>
          <w:rFonts w:ascii="Times New Roman;Times;Serif" w:hAnsi="Times New Roman;Times;Serif"/>
          <w:b w:val="false"/>
          <w:i w:val="false"/>
          <w:caps w:val="false"/>
          <w:smallCaps w:val="false"/>
          <w:sz w:val="20"/>
        </w:rPr>
        <w:t>20,335 and $</w:t>
      </w:r>
      <w:bookmarkStart w:id="368" w:name="xdx_903_ecustom--CashPaidForAmountsInclu"/>
      <w:bookmarkEnd w:id="368"/>
      <w:r>
        <w:rPr>
          <w:rFonts w:ascii="Times New Roman;Times;Serif" w:hAnsi="Times New Roman;Times;Serif"/>
          <w:b w:val="false"/>
          <w:i w:val="false"/>
          <w:caps w:val="false"/>
          <w:smallCaps w:val="false"/>
          <w:sz w:val="20"/>
        </w:rPr>
        <w:t>125,000 and $</w:t>
      </w:r>
      <w:bookmarkStart w:id="369" w:name="xdx_90F_ecustom--CashPaidForAmountsInclu"/>
      <w:bookmarkEnd w:id="369"/>
      <w:r>
        <w:rPr>
          <w:rFonts w:ascii="Times New Roman;Times;Serif" w:hAnsi="Times New Roman;Times;Serif"/>
          <w:b w:val="false"/>
          <w:i w:val="false"/>
          <w:caps w:val="false"/>
          <w:smallCaps w:val="false"/>
          <w:sz w:val="20"/>
        </w:rPr>
        <w:t>40,670 and $</w:t>
      </w:r>
      <w:bookmarkStart w:id="370" w:name="xdx_909_ecustom--CashPaidForAmountsInclu"/>
      <w:bookmarkEnd w:id="370"/>
      <w:r>
        <w:rPr>
          <w:rFonts w:ascii="Times New Roman;Times;Serif" w:hAnsi="Times New Roman;Times;Serif"/>
          <w:b w:val="false"/>
          <w:i w:val="false"/>
          <w:caps w:val="false"/>
          <w:smallCaps w:val="false"/>
          <w:sz w:val="20"/>
        </w:rPr>
        <w:t>200,000, respectively, during the three and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expected maturities of lease liabilities for operating leases as of September 30, 2025:</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1" w:name="xdx_880_eus-gaap--LesseeOperatingLeaseLi"/>
      <w:bookmarkStart w:id="372" w:name="xdx_880_eus-gaap--LesseeOperatingLeaseLi"/>
      <w:bookmarkEnd w:id="372"/>
    </w:p>
    <w:tbl>
      <w:tblPr>
        <w:tblW w:w="4865" w:type="dxa"/>
        <w:jc w:val="left"/>
        <w:tblInd w:w="0" w:type="dxa"/>
        <w:tblLayout w:type="fixed"/>
        <w:tblCellMar>
          <w:top w:w="0" w:type="dxa"/>
          <w:left w:w="0" w:type="dxa"/>
          <w:bottom w:w="0" w:type="dxa"/>
          <w:right w:w="0" w:type="dxa"/>
        </w:tblCellMar>
      </w:tblPr>
      <w:tblGrid>
        <w:gridCol w:w="3890"/>
        <w:gridCol w:w="60"/>
        <w:gridCol w:w="125"/>
        <w:gridCol w:w="695"/>
        <w:gridCol w:w="95"/>
      </w:tblGrid>
      <w:tr>
        <w:trPr/>
        <w:tc>
          <w:tcPr>
            <w:tcW w:w="38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373" w:name="xdx_8B2_zML8TzX85QZ5"/>
            <w:bookmarkEnd w:id="373"/>
            <w:r>
              <w:rPr>
                <w:rFonts w:ascii="Times New Roman;Times;Serif" w:hAnsi="Times New Roman;Times;Serif"/>
                <w:b w:val="false"/>
                <w:i w:val="false"/>
                <w:caps w:val="false"/>
                <w:smallCaps w:val="false"/>
                <w:sz w:val="20"/>
              </w:rPr>
              <w:t>Schedule of lease liabilities for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74" w:name="xdx_499_20250930_zHaAr70hBX53"/>
            <w:bookmarkEnd w:id="374"/>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75" w:name="xdx_406_eus-gaap--LesseeOperatingLeaseLi"/>
            <w:bookmarkEnd w:id="375"/>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76" w:name="xdx_40A_eus-gaap--LesseeOperatingLeaseLi"/>
            <w:bookmarkEnd w:id="376"/>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83,137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77" w:name="xdx_40D_eus-gaap--LesseeOperatingLeaseLi"/>
            <w:bookmarkEnd w:id="377"/>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85,663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78" w:name="xdx_402_eus-gaap--LesseeOperatingLeaseLi"/>
            <w:bookmarkEnd w:id="378"/>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88,231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79" w:name="xdx_405_eus-gaap--LesseeOperatingLeaseLi"/>
            <w:bookmarkEnd w:id="379"/>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90,928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80" w:name="xdx_402_eus-gaap--LesseeOperatingLeaseLi"/>
            <w:bookmarkEnd w:id="380"/>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44,944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81" w:name="xdx_407_eus-gaap--LesseeOperatingLeaseLi"/>
            <w:bookmarkEnd w:id="381"/>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413,238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82" w:name="xdx_403_eus-gaap--LesseeOperatingLeaseLi"/>
            <w:bookmarkEnd w:id="382"/>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(34,497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83" w:name="xdx_40F_eus-gaap--OperatingLeaseLiabilit"/>
            <w:bookmarkEnd w:id="383"/>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378,741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84" w:name="xdx_403_eus-gaap--OperatingLeaseLiabilit"/>
            <w:bookmarkEnd w:id="384"/>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(69,877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85" w:name="xdx_40C_eus-gaap--OperatingLeaseLiabilit"/>
            <w:bookmarkEnd w:id="385"/>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left"/>
        <w:rPr>
          <w:caps w:val="false"/>
          <w:smallCaps w:val="false"/>
        </w:rPr>
      </w:pPr>
      <w:bookmarkStart w:id="386" w:name="xdx_237_zFNokezmdmU9"/>
      <w:bookmarkEnd w:id="386"/>
      <w:r>
        <w:rPr>
          <w:caps w:val="false"/>
          <w:smallCaps w:val="false"/>
        </w:rPr>
        <w:t> </w:t>
      </w:r>
    </w:p>
    <w:p>
      <w:pPr>
        <w:pStyle w:val="TextBody"/>
        <w:bidi w:val="0"/>
        <w:jc w:val="both"/>
        <w:rPr>
          <w:rFonts w:ascii="Times New Roman;Times;Serif" w:hAnsi="Times New Roman;Times;Serif"/>
          <w:b/>
          <w:i w:val="false"/>
          <w:smallCaps/>
          <w:sz w:val="20"/>
        </w:rPr>
      </w:pPr>
      <w:bookmarkStart w:id="387" w:name="xdx_80B_ecustom--CommonAndPreferredStock"/>
      <w:bookmarkEnd w:id="387"/>
      <w:r>
        <w:rPr>
          <w:rFonts w:ascii="Times New Roman;Times;Serif" w:hAnsi="Times New Roman;Times;Serif"/>
          <w:b/>
          <w:i w:val="false"/>
          <w:smallCaps/>
          <w:sz w:val="20"/>
        </w:rPr>
        <w:t>Note 7 –</w:t>
      </w:r>
      <w:bookmarkStart w:id="388" w:name="xdx_820_zJS3mBRuonAk"/>
      <w:bookmarkEnd w:id="388"/>
      <w:r>
        <w:rPr>
          <w:rFonts w:ascii="Times New Roman;Times;Serif" w:hAnsi="Times New Roman;Times;Serif"/>
          <w:b/>
          <w:i w:val="false"/>
          <w:smallCaps/>
          <w:sz w:val="20"/>
        </w:rPr>
        <w:t xml:space="preserve"> Common and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NTHI is authorized to issue </w:t>
      </w:r>
      <w:bookmarkStart w:id="389" w:name="xdx_906_eus-gaap--CommonStockSharesAutho"/>
      <w:bookmarkEnd w:id="389"/>
      <w:r>
        <w:rPr>
          <w:rFonts w:ascii="Times New Roman;Times;Serif" w:hAnsi="Times New Roman;Times;Serif"/>
          <w:b w:val="false"/>
          <w:i w:val="false"/>
          <w:caps w:val="false"/>
          <w:smallCaps w:val="false"/>
          <w:sz w:val="20"/>
        </w:rPr>
        <w:t>100,000,000 shares of common stock, par value $</w:t>
      </w:r>
      <w:bookmarkStart w:id="390" w:name="xdx_90A_eus-gaap--CommonStockParOrStated"/>
      <w:bookmarkEnd w:id="390"/>
      <w:r>
        <w:rPr>
          <w:rFonts w:ascii="Times New Roman;Times;Serif" w:hAnsi="Times New Roman;Times;Serif"/>
          <w:b w:val="false"/>
          <w:i w:val="false"/>
          <w:caps w:val="false"/>
          <w:smallCaps w:val="false"/>
          <w:sz w:val="20"/>
        </w:rPr>
        <w:t xml:space="preserve">0.0001 per share and </w:t>
      </w:r>
      <w:bookmarkStart w:id="391" w:name="xdx_90C_eus-gaap--PreferredStockSharesAu"/>
      <w:bookmarkEnd w:id="391"/>
      <w:r>
        <w:rPr>
          <w:rFonts w:ascii="Times New Roman;Times;Serif" w:hAnsi="Times New Roman;Times;Serif"/>
          <w:b w:val="false"/>
          <w:i w:val="false"/>
          <w:caps w:val="false"/>
          <w:smallCaps w:val="false"/>
          <w:sz w:val="20"/>
        </w:rPr>
        <w:t>10,000,000 shares of preferred stock, par value $</w:t>
      </w:r>
      <w:bookmarkStart w:id="392" w:name="xdx_90A_eus-gaap--PreferredStockParOrSta"/>
      <w:bookmarkEnd w:id="392"/>
      <w:r>
        <w:rPr>
          <w:rFonts w:ascii="Times New Roman;Times;Serif" w:hAnsi="Times New Roman;Times;Serif"/>
          <w:b w:val="false"/>
          <w:i w:val="false"/>
          <w:caps w:val="false"/>
          <w:smallCaps w:val="false"/>
          <w:sz w:val="20"/>
        </w:rPr>
        <w:t xml:space="preserve">0.0001 per share. As of September 30, 2025, </w:t>
      </w:r>
      <w:bookmarkStart w:id="393" w:name="xdx_905_eus-gaap--PreferredStockSharesIs"/>
      <w:bookmarkEnd w:id="393"/>
      <w:r>
        <w:rPr>
          <w:rFonts w:ascii="Times New Roman;Times;Serif" w:hAnsi="Times New Roman;Times;Serif"/>
          <w:b w:val="false"/>
          <w:i w:val="false"/>
          <w:caps w:val="false"/>
          <w:smallCaps w:val="false"/>
          <w:sz w:val="20"/>
        </w:rPr>
        <w:t>no preferred shares have been issued. The board of directors is authorized, subject to any limitations prescribed by law, to provide for the issuance of shares of Preferred Stock in one or more series, and by filing a certificate pursuant to the applicable law of the State of Delaware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establish from time to time the number of shares to be included in each such series, and to fix the designation, powers, preferences, and rights of the shares of each wholly unissued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any series thereof, unless a vote of any such holders is required pursuant to the terms of any Preferred Stock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sold </w:t>
      </w:r>
      <w:bookmarkStart w:id="394" w:name="xdx_90D_eus-gaap--SaleOfStockNumberOfSha"/>
      <w:bookmarkEnd w:id="394"/>
      <w:r>
        <w:rPr>
          <w:rFonts w:ascii="Times New Roman;Times;Serif" w:hAnsi="Times New Roman;Times;Serif"/>
          <w:b w:val="false"/>
          <w:i w:val="false"/>
          <w:caps w:val="false"/>
          <w:smallCaps w:val="false"/>
          <w:sz w:val="20"/>
        </w:rPr>
        <w:t>727,750 shares of common stock at a price of $</w:t>
      </w:r>
      <w:bookmarkStart w:id="395" w:name="xdx_906_eus-gaap--SharePrice_c20250930__"/>
      <w:bookmarkEnd w:id="395"/>
      <w:r>
        <w:rPr>
          <w:rFonts w:ascii="Times New Roman;Times;Serif" w:hAnsi="Times New Roman;Times;Serif"/>
          <w:b w:val="false"/>
          <w:i w:val="false"/>
          <w:caps w:val="false"/>
          <w:smallCaps w:val="false"/>
          <w:sz w:val="20"/>
        </w:rPr>
        <w:t>16.00 per share for gross proceeds of $</w:t>
      </w:r>
      <w:bookmarkStart w:id="396" w:name="xdx_901_eus-gaap--ProceedsFromIssuanceOf"/>
      <w:bookmarkEnd w:id="396"/>
      <w:r>
        <w:rPr>
          <w:rFonts w:ascii="Times New Roman;Times;Serif" w:hAnsi="Times New Roman;Times;Serif"/>
          <w:b w:val="false"/>
          <w:i w:val="false"/>
          <w:caps w:val="false"/>
          <w:smallCaps w:val="false"/>
          <w:sz w:val="20"/>
        </w:rPr>
        <w:t xml:space="preserve">11,644,005 pursuant to a private placement of its securities, issued </w:t>
      </w:r>
      <w:bookmarkStart w:id="397" w:name="xdx_90E_eus-gaap--StockIssuedDuringPerio"/>
      <w:bookmarkEnd w:id="397"/>
      <w:r>
        <w:rPr>
          <w:rFonts w:ascii="Times New Roman;Times;Serif" w:hAnsi="Times New Roman;Times;Serif"/>
          <w:b w:val="false"/>
          <w:i w:val="false"/>
          <w:caps w:val="false"/>
          <w:smallCaps w:val="false"/>
          <w:sz w:val="20"/>
        </w:rPr>
        <w:t xml:space="preserve">46,000 shares as part of advisory services related to the listing and as part of the private placement fee for our equity line of credit, 162,500 shares were issued for the cashless exercise of warrants, and issued 447,527 shares from the sale of shares under the equity line of credit, and the release of </w:t>
      </w:r>
      <w:bookmarkStart w:id="398" w:name="xdx_90C_ecustom--ReleaseOfRestrictedStoc"/>
      <w:bookmarkEnd w:id="398"/>
      <w:r>
        <w:rPr>
          <w:rFonts w:ascii="Times New Roman;Times;Serif" w:hAnsi="Times New Roman;Times;Serif"/>
          <w:b w:val="false"/>
          <w:i w:val="false"/>
          <w:caps w:val="false"/>
          <w:smallCaps w:val="false"/>
          <w:sz w:val="20"/>
        </w:rPr>
        <w:t>3,310,000 shares for 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11, 2024, the </w:t>
      </w:r>
      <w:bookmarkStart w:id="399" w:name="xdx_904_ecustom--PrivatePlacementDescrip"/>
      <w:bookmarkEnd w:id="399"/>
      <w:r>
        <w:rPr>
          <w:rFonts w:ascii="Times New Roman;Times;Serif" w:hAnsi="Times New Roman;Times;Serif"/>
          <w:b w:val="false"/>
          <w:i w:val="false"/>
          <w:caps w:val="false"/>
          <w:smallCaps w:val="false"/>
          <w:sz w:val="20"/>
        </w:rPr>
        <w:t>Company entered into an agreement with RBW Capital Partners LLC, a division of Dawson James Securities, Inc. (“Broker”) to serve as placement agent and provide broker services in connection with the possible sale of common stock up to $10 million. If a sale is made between the Company and any institutional or individual third-party funding source introduced by the placement agent, the Company will pay a placement fee of 8% of the gross proceeds. In addition, the company agrees to pay; (a) 1.0% of the gross proceeds for non-accountable expenses; and (b) out of pocket expenses plus the costs associated with the use of a third-party electronic road show service up to $10,000. The agreement expired on January 11, 2025 and was amended and restated on January 29, 2025 to extend the term for another six months through July 29, 2025 and increased the placement fee to 12% from 8% of the gross proceeds, and eliminated the 1% non-accountable expense fee.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this agreement, through December 31, 2024, the Company closed on commitments from investors to purchase </w:t>
      </w:r>
      <w:bookmarkStart w:id="400" w:name="xdx_907_eus-gaap--SaleOfStockNumberOfSha"/>
      <w:bookmarkEnd w:id="400"/>
      <w:r>
        <w:rPr>
          <w:rFonts w:ascii="Times New Roman;Times;Serif" w:hAnsi="Times New Roman;Times;Serif"/>
          <w:b w:val="false"/>
          <w:i w:val="false"/>
          <w:caps w:val="false"/>
          <w:smallCaps w:val="false"/>
          <w:sz w:val="20"/>
        </w:rPr>
        <w:t>625,000 shares of common stock of the Company at $</w:t>
      </w:r>
      <w:bookmarkStart w:id="401" w:name="xdx_90D_eus-gaap--SharePrice_iI_c2024123"/>
      <w:bookmarkEnd w:id="401"/>
      <w:r>
        <w:rPr>
          <w:rFonts w:ascii="Times New Roman;Times;Serif" w:hAnsi="Times New Roman;Times;Serif"/>
          <w:b w:val="false"/>
          <w:i w:val="false"/>
          <w:caps w:val="false"/>
          <w:smallCaps w:val="false"/>
          <w:sz w:val="20"/>
        </w:rPr>
        <w:t>16 per share for total commitments of $</w:t>
      </w:r>
      <w:bookmarkStart w:id="402" w:name="xdx_90C_eus-gaap--CommitmentsFairValueDi"/>
      <w:bookmarkEnd w:id="402"/>
      <w:r>
        <w:rPr>
          <w:rFonts w:ascii="Times New Roman;Times;Serif" w:hAnsi="Times New Roman;Times;Serif"/>
          <w:b w:val="false"/>
          <w:i w:val="false"/>
          <w:caps w:val="false"/>
          <w:smallCaps w:val="false"/>
          <w:sz w:val="20"/>
        </w:rPr>
        <w:t xml:space="preserve">10,000,000, which were to be held in escrow until the Company’s registration statement was declared effective. During the three months ended March 31, 2025, prior to the Company having an effective registration statement, the Company closed on an additional commitment to purchase </w:t>
      </w:r>
      <w:bookmarkStart w:id="403" w:name="xdx_900_eus-gaap--SaleOfStockNumberOfSha"/>
      <w:bookmarkEnd w:id="403"/>
      <w:r>
        <w:rPr>
          <w:rFonts w:ascii="Times New Roman;Times;Serif" w:hAnsi="Times New Roman;Times;Serif"/>
          <w:b w:val="false"/>
          <w:i w:val="false"/>
          <w:caps w:val="false"/>
          <w:smallCaps w:val="false"/>
          <w:sz w:val="20"/>
        </w:rPr>
        <w:t>102,750 shares of common stock of the Company at $</w:t>
      </w:r>
      <w:bookmarkStart w:id="404" w:name="xdx_90E_eus-gaap--SharePrice_iI_c2025033"/>
      <w:bookmarkEnd w:id="404"/>
      <w:r>
        <w:rPr>
          <w:rFonts w:ascii="Times New Roman;Times;Serif" w:hAnsi="Times New Roman;Times;Serif"/>
          <w:b w:val="false"/>
          <w:i w:val="false"/>
          <w:caps w:val="false"/>
          <w:smallCaps w:val="false"/>
          <w:sz w:val="20"/>
        </w:rPr>
        <w:t>16 per share, for total commitments of $</w:t>
      </w:r>
      <w:bookmarkStart w:id="405" w:name="xdx_906_eus-gaap--CommitmentsFairValueDi"/>
      <w:bookmarkEnd w:id="405"/>
      <w:r>
        <w:rPr>
          <w:rFonts w:ascii="Times New Roman;Times;Serif" w:hAnsi="Times New Roman;Times;Serif"/>
          <w:b w:val="false"/>
          <w:i w:val="false"/>
          <w:caps w:val="false"/>
          <w:smallCaps w:val="false"/>
          <w:sz w:val="20"/>
        </w:rPr>
        <w:t>1,644,005, also to be held in escrow until the Company’s registration statement was declared effective. On March 25, 2025, the Company’s registration statement was declared effective at which time the $</w:t>
      </w:r>
      <w:bookmarkStart w:id="406" w:name="xdx_908_ecustom--EscrowReleased_iI_pp0d_"/>
      <w:bookmarkEnd w:id="406"/>
      <w:r>
        <w:rPr>
          <w:rFonts w:ascii="Times New Roman;Times;Serif" w:hAnsi="Times New Roman;Times;Serif"/>
          <w:b w:val="false"/>
          <w:i w:val="false"/>
          <w:caps w:val="false"/>
          <w:smallCaps w:val="false"/>
          <w:sz w:val="20"/>
        </w:rPr>
        <w:t>11,644,005 in escrow was released to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agreement, the Company paid $</w:t>
      </w:r>
      <w:bookmarkStart w:id="407" w:name="xdx_908_ecustom--PlacementAgentFees_c202"/>
      <w:bookmarkEnd w:id="407"/>
      <w:r>
        <w:rPr>
          <w:rFonts w:ascii="Times New Roman;Times;Serif" w:hAnsi="Times New Roman;Times;Serif"/>
          <w:b w:val="false"/>
          <w:i w:val="false"/>
          <w:caps w:val="false"/>
          <w:smallCaps w:val="false"/>
          <w:sz w:val="20"/>
        </w:rPr>
        <w:t>300,000 in placement agent fees to Broker for securing $2,500,000 in commitments for the Private Placement. This fee was paid when the funds were released from escrow and recorded as a reduction to additional paid-in capital on the condensed consolidated statement of shareholders’ deficit as of September 30, 2025.</w:t>
      </w:r>
    </w:p>
    <w:p>
      <w:pPr>
        <w:pStyle w:val="TextBody"/>
        <w:bidi w:val="0"/>
        <w:jc w:val="left"/>
        <w:rPr>
          <w:caps w:val="false"/>
          <w:smallCaps w:val="false"/>
        </w:rPr>
      </w:pPr>
      <w:bookmarkStart w:id="408" w:name="xdx_235_z2v8hFpeoJUf"/>
      <w:bookmarkEnd w:id="40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as amended on January 23, 2025, the Company entered into an agreement with Broker, for financial advisory and investment banking services in connection with a direct listing of the Company’s common stock on the Nasdaq Global Market or other major US market. The agreement provides for a one-time fee of $250,000 payable three days after the direct listing and the issuance of 30,000 shares of common stock (which are restricted until the shares are registered by filing a resale S-1 within 30 days after the effective date of the direct listing). In addition, the Company agreed to pay up to $</w:t>
      </w:r>
      <w:bookmarkStart w:id="409" w:name="xdx_90F_ecustom--AdvisoryServicesFees_c2"/>
      <w:bookmarkEnd w:id="409"/>
      <w:r>
        <w:rPr>
          <w:rFonts w:ascii="Times New Roman;Times;Serif" w:hAnsi="Times New Roman;Times;Serif"/>
          <w:b w:val="false"/>
          <w:i w:val="false"/>
          <w:caps w:val="false"/>
          <w:smallCaps w:val="false"/>
          <w:sz w:val="20"/>
        </w:rPr>
        <w:t xml:space="preserve">100,000 for fees and expenses of legal counsel and other out-of-pocket expenses plus the costs associated with the use of a third-party electronic road show service. Such fees were included in accounts payable and deferred offering costs in the accompanying consolidated balance sheets as of December 31, 2024. The fair value of the </w:t>
      </w:r>
      <w:bookmarkStart w:id="410" w:name="xdx_909_eus-gaap--StockIssuedDuringPerio"/>
      <w:bookmarkEnd w:id="410"/>
      <w:r>
        <w:rPr>
          <w:rFonts w:ascii="Times New Roman;Times;Serif" w:hAnsi="Times New Roman;Times;Serif"/>
          <w:b w:val="false"/>
          <w:i w:val="false"/>
          <w:caps w:val="false"/>
          <w:smallCaps w:val="false"/>
          <w:sz w:val="20"/>
        </w:rPr>
        <w:t>30,000 shares issued in March 2025, amounting to $</w:t>
      </w:r>
      <w:bookmarkStart w:id="411" w:name="xdx_90B_eus-gaap--StockIssuedDuringPerio"/>
      <w:bookmarkEnd w:id="411"/>
      <w:r>
        <w:rPr>
          <w:rFonts w:ascii="Times New Roman;Times;Serif" w:hAnsi="Times New Roman;Times;Serif"/>
          <w:b w:val="false"/>
          <w:i w:val="false"/>
          <w:caps w:val="false"/>
          <w:smallCaps w:val="false"/>
          <w:sz w:val="20"/>
        </w:rPr>
        <w:t>363,300, was determined using the closing day price of $</w:t>
      </w:r>
      <w:bookmarkStart w:id="412" w:name="xdx_90F_eus-gaap--SharePrice_iI_c2025033"/>
      <w:bookmarkEnd w:id="412"/>
      <w:r>
        <w:rPr>
          <w:rFonts w:ascii="Times New Roman;Times;Serif" w:hAnsi="Times New Roman;Times;Serif"/>
          <w:b w:val="false"/>
          <w:i w:val="false"/>
          <w:caps w:val="false"/>
          <w:smallCaps w:val="false"/>
          <w:sz w:val="20"/>
        </w:rPr>
        <w:t>12.11. This amount was recorded as an advisory fee on the condensed consolidated statement of operations for the nine months ended September 30, 2025. The agreement expired on January 3, 2025 and was amended and restated on January 23, 2025 to extend the term for another six months through July 23, 2025. This agreement expired in July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Offering Costs  Direct Listing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relating to the Private Placement and direct listing at December 31, 2024 totaled $</w:t>
      </w:r>
      <w:bookmarkStart w:id="413" w:name="xdx_903_eus-gaap--DeferredOfferingCosts_"/>
      <w:bookmarkEnd w:id="413"/>
      <w:r>
        <w:rPr>
          <w:rFonts w:ascii="Times New Roman;Times;Serif" w:hAnsi="Times New Roman;Times;Serif"/>
          <w:b w:val="false"/>
          <w:i w:val="false"/>
          <w:caps w:val="false"/>
          <w:smallCaps w:val="false"/>
          <w:sz w:val="20"/>
        </w:rPr>
        <w:t>1,071,947. At September 30, 2025, this amount plus $</w:t>
      </w:r>
      <w:bookmarkStart w:id="414" w:name="xdx_902_ecustom--DeferredOfferingCostsIn"/>
      <w:bookmarkEnd w:id="414"/>
      <w:r>
        <w:rPr>
          <w:rFonts w:ascii="Times New Roman;Times;Serif" w:hAnsi="Times New Roman;Times;Serif"/>
          <w:b w:val="false"/>
          <w:i w:val="false"/>
          <w:caps w:val="false"/>
          <w:smallCaps w:val="false"/>
          <w:sz w:val="20"/>
        </w:rPr>
        <w:t>0 and $</w:t>
      </w:r>
      <w:bookmarkStart w:id="415" w:name="xdx_90B_ecustom--DeferredOfferingCostsIn"/>
      <w:bookmarkEnd w:id="415"/>
      <w:r>
        <w:rPr>
          <w:rFonts w:ascii="Times New Roman;Times;Serif" w:hAnsi="Times New Roman;Times;Serif"/>
          <w:b w:val="false"/>
          <w:i w:val="false"/>
          <w:caps w:val="false"/>
          <w:smallCaps w:val="false"/>
          <w:sz w:val="20"/>
        </w:rPr>
        <w:t>319,633 incurred in the three and nine months ended September 30, 2025, respectively was reclassified against the common stock issued in the condensed consolidated statement of changes in shareholder’s deficit.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2024, the Company entered into an equity purchase agreement (the “Equity Purchase Agreement”) with Mast Hill Fund, LP (“Mast Hill”) pursuant to which the Company may sell and issue to Mast Hill, and the investor may purchase from the Company, up to $50,000,000 of Company’s common stock. Under the Equity Purchase Agreement, the Company has the right, but not the obligation, to direct Mast Hill, by its delivery to the Mast Hill of a Put Notice from time to time, to purchase Put Shares (i) in a minimum amount not less than $50,000 and (ii) in a maximum amount up to the lesser of (a) $750,000 or (b) 150% of the average trading volume of the Company’s common stock during the five trading days immediately preceding the Put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of proceeds the Company receives pursuant to each Put Notice (each, the “Put Amount”) is determined by multiplying the Put Amount requested by the applicable purchase price. The purchase price for each of the Put Shares equals 95% of the Market Price, (as defined below) less the Clearing Costs (as defined below). Market Price is the lowest volume weighted average prices of the Company’s common stock on its principal market on any trading day during the Valuation Period (as defined below).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of the Equity Purchase Agreement commenced on the effective date of the direct listing and will terminate on the earlier of (i) the date on which the Mast Hill shall have purchased Put Shares equal to the $50,000,000, (ii) twenty-four (24) months after the date of the Equity Purchase Agreement, (iii) written notice of termination by the Company to Mast Hill, (iv) this Registration Statement is no longer effective after the initial effective date of this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 For the three and nine months ended September 30, 2025, the Company sold </w:t>
      </w:r>
      <w:bookmarkStart w:id="416" w:name="xdx_90E_eus-gaap--SaleOfStockNumberOfSha"/>
      <w:bookmarkStart w:id="417" w:name="xdx_905_eus-gaap--SaleOfStockNumberOfSha"/>
      <w:bookmarkEnd w:id="416"/>
      <w:bookmarkEnd w:id="417"/>
      <w:r>
        <w:rPr>
          <w:rFonts w:ascii="Times New Roman;Times;Serif" w:hAnsi="Times New Roman;Times;Serif"/>
          <w:b w:val="false"/>
          <w:i w:val="false"/>
          <w:caps w:val="false"/>
          <w:smallCaps w:val="false"/>
          <w:sz w:val="20"/>
        </w:rPr>
        <w:t>447,527 shares of common stock at $</w:t>
      </w:r>
      <w:bookmarkStart w:id="418" w:name="xdx_90A_eus-gaap--SharePrice_c20250930__"/>
      <w:bookmarkEnd w:id="418"/>
      <w:r>
        <w:rPr>
          <w:rFonts w:ascii="Times New Roman;Times;Serif" w:hAnsi="Times New Roman;Times;Serif"/>
          <w:b w:val="false"/>
          <w:i w:val="false"/>
          <w:caps w:val="false"/>
          <w:smallCaps w:val="false"/>
          <w:sz w:val="20"/>
        </w:rPr>
        <w:t>3.73  $</w:t>
      </w:r>
      <w:bookmarkStart w:id="419" w:name="xdx_908_eus-gaap--SharePrice_c20250930__"/>
      <w:bookmarkEnd w:id="419"/>
      <w:r>
        <w:rPr>
          <w:rFonts w:ascii="Times New Roman;Times;Serif" w:hAnsi="Times New Roman;Times;Serif"/>
          <w:b w:val="false"/>
          <w:i w:val="false"/>
          <w:caps w:val="false"/>
          <w:smallCaps w:val="false"/>
          <w:sz w:val="20"/>
        </w:rPr>
        <w:t>9.53 per share under the Equity Purchase Agreement, resulting in net proceeds of $3,198,735. Since the shares were purchased at a discount as a result of the five-day settlement period, the settlement feature is considered a derivative liability. The fair value of the derivative approximates the loss on the settlement of such shares or $</w:t>
      </w:r>
      <w:bookmarkStart w:id="420" w:name="xdx_902_eus-gaap--ProceedsFromIssuanceOf"/>
      <w:bookmarkStart w:id="421" w:name="xdx_90C_eus-gaap--ProceedsFromIssuanceOf"/>
      <w:bookmarkEnd w:id="420"/>
      <w:bookmarkEnd w:id="421"/>
      <w:r>
        <w:rPr>
          <w:rFonts w:ascii="Times New Roman;Times;Serif" w:hAnsi="Times New Roman;Times;Serif"/>
          <w:b w:val="false"/>
          <w:i w:val="false"/>
          <w:caps w:val="false"/>
          <w:smallCaps w:val="false"/>
          <w:sz w:val="20"/>
        </w:rPr>
        <w:t>380,162 which was recognized in the condensed consolidated statement of operations for the three and nine months ended September 30, 2025.</w:t>
      </w:r>
    </w:p>
    <w:p>
      <w:pPr>
        <w:pStyle w:val="TextBody"/>
        <w:bidi w:val="0"/>
        <w:jc w:val="left"/>
        <w:rPr>
          <w:caps w:val="false"/>
          <w:smallCaps w:val="false"/>
        </w:rPr>
      </w:pPr>
      <w:bookmarkStart w:id="422" w:name="xdx_8AE_zQ1zQIjLEoC1"/>
      <w:bookmarkEnd w:id="42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left"/>
        <w:rPr>
          <w:caps w:val="false"/>
          <w:smallCaps w:val="false"/>
        </w:rPr>
      </w:pPr>
      <w:bookmarkStart w:id="423" w:name="xdx_23D_zJh9MpAhd5Ob"/>
      <w:bookmarkEnd w:id="42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agreement, we issued </w:t>
      </w:r>
      <w:bookmarkStart w:id="424" w:name="xdx_908_eus-gaap--CommonStockSharesIssue"/>
      <w:bookmarkEnd w:id="424"/>
      <w:r>
        <w:rPr>
          <w:rFonts w:ascii="Times New Roman;Times;Serif" w:hAnsi="Times New Roman;Times;Serif"/>
          <w:b w:val="false"/>
          <w:i w:val="false"/>
          <w:caps w:val="false"/>
          <w:smallCaps w:val="false"/>
          <w:sz w:val="20"/>
        </w:rPr>
        <w:t>16,000 shares of common stock to Mast Hill. The fair value of the shares granted to Mast Hill upon issuance was determined by using the closing day price of $</w:t>
      </w:r>
      <w:bookmarkStart w:id="425" w:name="xdx_907_eus-gaap--SharePrice_iI_c2025093"/>
      <w:bookmarkEnd w:id="425"/>
      <w:r>
        <w:rPr>
          <w:rFonts w:ascii="Times New Roman;Times;Serif" w:hAnsi="Times New Roman;Times;Serif"/>
          <w:b w:val="false"/>
          <w:i w:val="false"/>
          <w:caps w:val="false"/>
          <w:smallCaps w:val="false"/>
          <w:sz w:val="20"/>
        </w:rPr>
        <w:t>12.11. Such amount net of amortization was recorded as deferred offering cost on the condensed consolidated balance sheet as of March 31, 2025. For the three and nine months ended September 30, 2025, the Company reported $</w:t>
      </w:r>
      <w:bookmarkStart w:id="426" w:name="xdx_908_eus-gaap--AmortizationOfFinancin"/>
      <w:bookmarkEnd w:id="426"/>
      <w:r>
        <w:rPr>
          <w:rFonts w:ascii="Times New Roman;Times;Serif" w:hAnsi="Times New Roman;Times;Serif"/>
          <w:b w:val="false"/>
          <w:i w:val="false"/>
          <w:caps w:val="false"/>
          <w:smallCaps w:val="false"/>
          <w:sz w:val="20"/>
        </w:rPr>
        <w:t>24,220 and $</w:t>
      </w:r>
      <w:bookmarkStart w:id="427" w:name="xdx_902_eus-gaap--AmortizationOfFinancin"/>
      <w:bookmarkEnd w:id="427"/>
      <w:r>
        <w:rPr>
          <w:rFonts w:ascii="Times New Roman;Times;Serif" w:hAnsi="Times New Roman;Times;Serif"/>
          <w:b w:val="false"/>
          <w:i w:val="false"/>
          <w:caps w:val="false"/>
          <w:smallCaps w:val="false"/>
          <w:sz w:val="20"/>
        </w:rPr>
        <w:t>94,458, respectively as amortization expense in the condensed consolidated statement of operations, and the remaining deferred offering costs of $</w:t>
      </w:r>
      <w:bookmarkStart w:id="428" w:name="xdx_907_eus-gaap--DeferredOfferingCosts_"/>
      <w:bookmarkEnd w:id="428"/>
      <w:r>
        <w:rPr>
          <w:rFonts w:ascii="Times New Roman;Times;Serif" w:hAnsi="Times New Roman;Times;Serif"/>
          <w:b w:val="false"/>
          <w:i w:val="false"/>
          <w:caps w:val="false"/>
          <w:smallCaps w:val="false"/>
          <w:sz w:val="20"/>
        </w:rPr>
        <w:t>99,302 at September 30, 2025 are to be amortized over the remaining term of the Equity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smallCaps/>
          <w:sz w:val="20"/>
        </w:rPr>
      </w:pPr>
      <w:bookmarkStart w:id="429" w:name="xdx_80C_ecustom--ShareBasedCompensationD"/>
      <w:bookmarkEnd w:id="429"/>
      <w:r>
        <w:rPr>
          <w:rFonts w:ascii="Times New Roman;Times;Serif" w:hAnsi="Times New Roman;Times;Serif"/>
          <w:b/>
          <w:i w:val="false"/>
          <w:smallCaps/>
          <w:sz w:val="20"/>
        </w:rPr>
        <w:t>Note 8 –</w:t>
      </w:r>
      <w:bookmarkStart w:id="430" w:name="xdx_827_zowN4rtPhjQd"/>
      <w:bookmarkEnd w:id="430"/>
      <w:r>
        <w:rPr>
          <w:rFonts w:ascii="Times New Roman;Times;Serif" w:hAnsi="Times New Roman;Times;Serif"/>
          <w:b/>
          <w:i w:val="false"/>
          <w:smallCaps/>
          <w:sz w:val="20"/>
        </w:rPr>
        <w:t xml:space="preserve"> 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2023, the Company adopted the 2023 Equity Incentive Plan (the “2023 Plan”), which allows the issuance of up to </w:t>
      </w:r>
      <w:bookmarkStart w:id="431" w:name="xdx_900_eus-gaap--ShareBasedCompensation"/>
      <w:bookmarkEnd w:id="431"/>
      <w:r>
        <w:rPr>
          <w:rFonts w:ascii="Times New Roman;Times;Serif" w:hAnsi="Times New Roman;Times;Serif"/>
          <w:b w:val="false"/>
          <w:i w:val="false"/>
          <w:caps w:val="false"/>
          <w:smallCaps w:val="false"/>
          <w:sz w:val="20"/>
        </w:rPr>
        <w:t>3,440,000 shares of the Company’s authorized and unissued common stock in the form of incentive stock options, non-qualified stock options, restricted stock units, performance share units, or other forms of equity as may be added in the future to employees, directors and consultants of the Company and its affiliates. The allowable number of shares that can be issued under the 2023 Plan increased upon the completion of the listing to 4,764,507 which represents 20% of the fully diluted capitalization of the Company on the closing of Company’s initial public price.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and February 2024, </w:t>
      </w:r>
      <w:bookmarkStart w:id="432" w:name="xdx_907_eus-gaap--ShareBasedCompensation"/>
      <w:bookmarkEnd w:id="432"/>
      <w:r>
        <w:rPr>
          <w:rFonts w:ascii="Times New Roman;Times;Serif" w:hAnsi="Times New Roman;Times;Serif"/>
          <w:b w:val="false"/>
          <w:i w:val="false"/>
          <w:caps w:val="false"/>
          <w:smallCaps w:val="false"/>
          <w:sz w:val="20"/>
        </w:rPr>
        <w:t xml:space="preserve">2,460,000 and </w:t>
      </w:r>
      <w:bookmarkStart w:id="433" w:name="xdx_90A_eus-gaap--ShareBasedCompensation"/>
      <w:bookmarkEnd w:id="433"/>
      <w:r>
        <w:rPr>
          <w:rFonts w:ascii="Times New Roman;Times;Serif" w:hAnsi="Times New Roman;Times;Serif"/>
          <w:b w:val="false"/>
          <w:i w:val="false"/>
          <w:caps w:val="false"/>
          <w:smallCaps w:val="false"/>
          <w:sz w:val="20"/>
        </w:rPr>
        <w:t>200,000, respectively, restricted stock units (“RSUs”) were granted to the executive officers and members of the Board of Directors further to the 2023 Plan as described above. Of the total RSUs granted (tranche 1) 1,686,667 vest 100% seven months from the date that the Company lists on a national exchange, (tranche 2) 466,667 will vest in equal monthly instalments over a one (1) year period commencing on the eighth month from the effective date of the listing on a national exchange and (tranche 3) 486,666 are performance-based, the vesting of which will be predicated on certain financial and operational performance metrics being met after the effective date of the listing on a national exchange as set forth the grant agreements. Since tranche 3 is performance based, it is not yet probable that all of the performance vesting conditions will be met and as such no expense has been recognized for tranche 3 as of September 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23, 2024, 200,000 RSUs were granted to each of the CEO and the Executive Chairman, for a total of </w:t>
      </w:r>
      <w:bookmarkStart w:id="434" w:name="xdx_90F_eus-gaap--ShareBasedCompensation"/>
      <w:bookmarkEnd w:id="434"/>
      <w:r>
        <w:rPr>
          <w:rFonts w:ascii="Times New Roman;Times;Serif" w:hAnsi="Times New Roman;Times;Serif"/>
          <w:b w:val="false"/>
          <w:i w:val="false"/>
          <w:caps w:val="false"/>
          <w:smallCaps w:val="false"/>
          <w:sz w:val="20"/>
        </w:rPr>
        <w:t xml:space="preserve">400,000, and </w:t>
      </w:r>
      <w:bookmarkStart w:id="435" w:name="xdx_900_eus-gaap--ShareBasedCompensation"/>
      <w:bookmarkEnd w:id="435"/>
      <w:r>
        <w:rPr>
          <w:rFonts w:ascii="Times New Roman;Times;Serif" w:hAnsi="Times New Roman;Times;Serif"/>
          <w:b w:val="false"/>
          <w:i w:val="false"/>
          <w:caps w:val="false"/>
          <w:smallCaps w:val="false"/>
          <w:sz w:val="20"/>
        </w:rPr>
        <w:t>100,000 granted to two members of the Board of Directors were canceled. These RSUs vest 100% seven months from the date the Company lists on a national exchange.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26, 2025, 150,000 RSUs were granted to the three board members, in the amount of </w:t>
      </w:r>
      <w:bookmarkStart w:id="436" w:name="xdx_90A_eus-gaap--ShareBasedCompensation"/>
      <w:bookmarkStart w:id="437" w:name="xdx_901_eus-gaap--ShareBasedCompensation"/>
      <w:bookmarkStart w:id="438" w:name="xdx_90E_eus-gaap--ShareBasedCompensation"/>
      <w:bookmarkEnd w:id="436"/>
      <w:bookmarkEnd w:id="437"/>
      <w:bookmarkEnd w:id="438"/>
      <w:r>
        <w:rPr>
          <w:rFonts w:ascii="Times New Roman;Times;Serif" w:hAnsi="Times New Roman;Times;Serif"/>
          <w:b w:val="false"/>
          <w:i w:val="false"/>
          <w:caps w:val="false"/>
          <w:smallCaps w:val="false"/>
          <w:sz w:val="20"/>
        </w:rPr>
        <w:t>50,000 each. These RSUs vest 100% seven months from the date the Company lists on a national exchange.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March 26, 2025, the Company determined that no expense should be recognized for the RSUs since the contingency related to the commencement of vesting (i.e., the listing) of the RSUs had not been met. On March 26, 2025, the listing occurred, satisfying the contingency required for vesting to begin and defining the service period.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 2025, </w:t>
      </w:r>
      <w:bookmarkStart w:id="439" w:name="xdx_908_eus-gaap--ShareBasedCompensation"/>
      <w:bookmarkEnd w:id="439"/>
      <w:r>
        <w:rPr>
          <w:rFonts w:ascii="Times New Roman;Times;Serif" w:hAnsi="Times New Roman;Times;Serif"/>
          <w:b w:val="false"/>
          <w:i w:val="false"/>
          <w:caps w:val="false"/>
          <w:smallCaps w:val="false"/>
          <w:sz w:val="20"/>
        </w:rPr>
        <w:t>300,000 RSUs were forfeited resulting in a reversal of $</w:t>
      </w:r>
      <w:bookmarkStart w:id="440" w:name="xdx_908_ecustom--SharedBasedCompensation"/>
      <w:bookmarkEnd w:id="440"/>
      <w:r>
        <w:rPr>
          <w:rFonts w:ascii="Times New Roman;Times;Serif" w:hAnsi="Times New Roman;Times;Serif"/>
          <w:b w:val="false"/>
          <w:i w:val="false"/>
          <w:caps w:val="false"/>
          <w:smallCaps w:val="false"/>
          <w:sz w:val="20"/>
        </w:rPr>
        <w:t>1,329,062 of shared based compensation during the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5, 2025, </w:t>
      </w:r>
      <w:bookmarkStart w:id="441" w:name="xdx_905_eus-gaap--ShareBasedCompensation"/>
      <w:bookmarkEnd w:id="441"/>
      <w:r>
        <w:rPr>
          <w:rFonts w:ascii="Times New Roman;Times;Serif" w:hAnsi="Times New Roman;Times;Serif"/>
          <w:b w:val="false"/>
          <w:i w:val="false"/>
          <w:caps w:val="false"/>
          <w:smallCaps w:val="false"/>
          <w:sz w:val="20"/>
        </w:rPr>
        <w:t>200,000 RSUs were granted to the one board member. 66,667 RSUs vest 100% seven months from the date of issuance, 66,667 RSUs vest 100% thirty-six months from the date of issuance. The remaining 66,667 RUS’s vest thirty-six months from the date certain performance metrics are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fair value of all the RSUs at their respective grant dates to be $</w:t>
      </w:r>
      <w:bookmarkStart w:id="442" w:name="xdx_90F_ecustom--FairValueOfRsus_c202501"/>
      <w:bookmarkEnd w:id="442"/>
      <w:r>
        <w:rPr>
          <w:rFonts w:ascii="Times New Roman;Times;Serif" w:hAnsi="Times New Roman;Times;Serif"/>
          <w:b w:val="false"/>
          <w:i w:val="false"/>
          <w:caps w:val="false"/>
          <w:smallCaps w:val="false"/>
          <w:sz w:val="20"/>
        </w:rPr>
        <w:t>32,495,174 based on the price of the most recent sale of common stock prior to each grant date for those RSU’s granted prior to the Listing Date or the quoted market value for the RSU’s granted after the Listing Date. For the nine months ended September 30, 2025, the company recognized $</w:t>
      </w:r>
      <w:bookmarkStart w:id="443" w:name="xdx_907_eus-gaap--ShareBasedCompensation"/>
      <w:bookmarkEnd w:id="443"/>
      <w:r>
        <w:rPr>
          <w:rFonts w:ascii="Times New Roman;Times;Serif" w:hAnsi="Times New Roman;Times;Serif"/>
          <w:b w:val="false"/>
          <w:i w:val="false"/>
          <w:caps w:val="false"/>
          <w:smallCaps w:val="false"/>
          <w:sz w:val="20"/>
        </w:rPr>
        <w:t>25,964,096. As of September 30, 2025, there was unamortized stock-based compensation of approximately $</w:t>
      </w:r>
      <w:bookmarkStart w:id="444" w:name="xdx_909_eus-gaap--EmployeeServiceShareBa"/>
      <w:bookmarkEnd w:id="444"/>
      <w:r>
        <w:rPr>
          <w:rFonts w:ascii="Times New Roman;Times;Serif" w:hAnsi="Times New Roman;Times;Serif"/>
          <w:b w:val="false"/>
          <w:i w:val="false"/>
          <w:caps w:val="false"/>
          <w:smallCaps w:val="false"/>
          <w:sz w:val="20"/>
        </w:rPr>
        <w:t xml:space="preserve">9,270,400 which the Company expects to recognize over approximately </w:t>
      </w:r>
      <w:bookmarkStart w:id="445" w:name="xdx_90F_eus-gaap--EmployeeServiceShareBa"/>
      <w:bookmarkEnd w:id="445"/>
      <w:r>
        <w:rPr>
          <w:rFonts w:ascii="Times New Roman;Times;Serif" w:hAnsi="Times New Roman;Times;Serif"/>
          <w:b w:val="false"/>
          <w:i w:val="false"/>
          <w:caps w:val="false"/>
          <w:smallCaps w:val="false"/>
          <w:sz w:val="20"/>
        </w:rPr>
        <w:t>6.75 years.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left"/>
        <w:rPr>
          <w:caps w:val="false"/>
          <w:smallCaps w:val="false"/>
        </w:rPr>
      </w:pPr>
      <w:bookmarkStart w:id="446" w:name="xdx_238_znbRednmzydd"/>
      <w:bookmarkEnd w:id="44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activity related to RSUs is summarized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7" w:name="xdx_88E_eus-gaap--ScheduleOfShareBasedCo"/>
      <w:bookmarkStart w:id="448" w:name="xdx_88E_eus-gaap--ScheduleOfShareBasedCo"/>
      <w:bookmarkEnd w:id="448"/>
    </w:p>
    <w:tbl>
      <w:tblPr>
        <w:tblW w:w="6479" w:type="dxa"/>
        <w:jc w:val="left"/>
        <w:tblInd w:w="0" w:type="dxa"/>
        <w:tblLayout w:type="fixed"/>
        <w:tblCellMar>
          <w:top w:w="0" w:type="dxa"/>
          <w:left w:w="0" w:type="dxa"/>
          <w:bottom w:w="0" w:type="dxa"/>
          <w:right w:w="0" w:type="dxa"/>
        </w:tblCellMar>
      </w:tblPr>
      <w:tblGrid>
        <w:gridCol w:w="4790"/>
        <w:gridCol w:w="60"/>
        <w:gridCol w:w="87"/>
        <w:gridCol w:w="1432"/>
        <w:gridCol w:w="110"/>
      </w:tblGrid>
      <w:tr>
        <w:trPr/>
        <w:tc>
          <w:tcPr>
            <w:tcW w:w="4790" w:type="dxa"/>
            <w:tcBorders/>
            <w:shd w:fill="FFFFFF" w:val="clear"/>
            <w:vAlign w:val="center"/>
          </w:tcPr>
          <w:p>
            <w:pPr>
              <w:pStyle w:val="TableContents"/>
              <w:bidi w:val="0"/>
              <w:spacing w:before="0" w:after="283"/>
              <w:jc w:val="left"/>
              <w:rPr/>
            </w:pPr>
            <w:bookmarkStart w:id="449" w:name="xdx_8B5_zvZQFJDoKBDg"/>
            <w:bookmarkEnd w:id="449"/>
            <w:r>
              <w:rPr/>
              <w:t>Schedule of restricted stock units activity</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69" w:type="dxa"/>
            <w:gridSpan w:val="4"/>
            <w:tcBorders>
              <w:bottom w:val="single" w:sz="8" w:space="0" w:color="000000"/>
            </w:tcBorders>
            <w:tcMar>
              <w:bottom w:w="28" w:type="dxa"/>
            </w:tcMar>
            <w:vAlign w:val="center"/>
          </w:tcPr>
          <w:p>
            <w:pPr>
              <w:pStyle w:val="TableContents"/>
              <w:bidi w:val="0"/>
              <w:spacing w:before="0" w:after="283"/>
              <w:jc w:val="center"/>
              <w:rPr>
                <w:b/>
              </w:rPr>
            </w:pPr>
            <w:r>
              <w:rPr>
                <w:b/>
              </w:rPr>
              <w:t>Restricted Stock Units</w:t>
            </w:r>
          </w:p>
        </w:tc>
        <w:tc>
          <w:tcPr>
            <w:tcW w:w="110" w:type="dxa"/>
            <w:tcBorders/>
            <w:vAlign w:val="center"/>
          </w:tcPr>
          <w:p>
            <w:pPr>
              <w:pStyle w:val="TableContents"/>
              <w:bidi w:val="0"/>
              <w:spacing w:before="0" w:after="283"/>
              <w:jc w:val="left"/>
              <w:rPr/>
            </w:pPr>
            <w:r>
              <w:rPr/>
              <w:t> </w:t>
            </w:r>
          </w:p>
        </w:tc>
      </w:tr>
      <w:tr>
        <w:trPr/>
        <w:tc>
          <w:tcPr>
            <w:tcW w:w="4790" w:type="dxa"/>
            <w:tcBorders>
              <w:bottom w:val="single" w:sz="8" w:space="0" w:color="000000"/>
            </w:tcBorders>
            <w:tcMar>
              <w:bottom w:w="28" w:type="dxa"/>
            </w:tcMar>
            <w:vAlign w:val="center"/>
          </w:tcPr>
          <w:p>
            <w:pPr>
              <w:pStyle w:val="TableContents"/>
              <w:bidi w:val="0"/>
              <w:spacing w:before="0" w:after="283"/>
              <w:jc w:val="center"/>
              <w:rPr>
                <w:b/>
              </w:rPr>
            </w:pPr>
            <w:r>
              <w:rPr>
                <w:b/>
              </w:rPr>
              <w:t>Activity</w:t>
            </w:r>
          </w:p>
        </w:tc>
        <w:tc>
          <w:tcPr>
            <w:tcW w:w="60" w:type="dxa"/>
            <w:tcBorders/>
            <w:vAlign w:val="center"/>
          </w:tcPr>
          <w:p>
            <w:pPr>
              <w:pStyle w:val="TableContents"/>
              <w:bidi w:val="0"/>
              <w:spacing w:before="0" w:after="283"/>
              <w:jc w:val="center"/>
              <w:rPr/>
            </w:pPr>
            <w:r>
              <w:rPr/>
              <w:t> </w:t>
            </w:r>
          </w:p>
        </w:tc>
        <w:tc>
          <w:tcPr>
            <w:tcW w:w="15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 Granted</w:t>
            </w:r>
          </w:p>
        </w:tc>
        <w:tc>
          <w:tcPr>
            <w:tcW w:w="110" w:type="dxa"/>
            <w:tcBorders/>
            <w:vAlign w:val="center"/>
          </w:tcPr>
          <w:p>
            <w:pPr>
              <w:pStyle w:val="TableContents"/>
              <w:bidi w:val="0"/>
              <w:spacing w:before="0" w:after="283"/>
              <w:jc w:val="center"/>
              <w:rPr/>
            </w:pPr>
            <w:r>
              <w:rPr/>
              <w:t> </w:t>
            </w:r>
          </w:p>
        </w:tc>
      </w:tr>
      <w:tr>
        <w:trPr/>
        <w:tc>
          <w:tcPr>
            <w:tcW w:w="4790" w:type="dxa"/>
            <w:tcBorders/>
            <w:shd w:fill="CCEEFF" w:val="clear"/>
            <w:vAlign w:val="center"/>
          </w:tcPr>
          <w:p>
            <w:pPr>
              <w:pStyle w:val="TableContents"/>
              <w:bidi w:val="0"/>
              <w:spacing w:before="0" w:after="283"/>
              <w:jc w:val="center"/>
              <w:rPr>
                <w:b/>
              </w:rPr>
            </w:pPr>
            <w:r>
              <w:rPr>
                <w:b/>
              </w:rPr>
              <w:t>2024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2024</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bookmarkStart w:id="450" w:name="xdx_903_eus-gaap--ShareBasedCompensation"/>
            <w:bookmarkEnd w:id="450"/>
            <w:r>
              <w:rPr/>
              <w:t>-</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bookmarkStart w:id="451" w:name="xdx_904_eus-gaap--ShareBasedCompensation"/>
            <w:bookmarkEnd w:id="451"/>
            <w:r>
              <w:rPr/>
              <w:t>3,060,000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4" w:space="0" w:color="000000"/>
            </w:tcBorders>
            <w:shd w:fill="FFFFFF" w:val="clear"/>
            <w:tcMar>
              <w:bottom w:w="28" w:type="dxa"/>
            </w:tcMar>
            <w:vAlign w:val="center"/>
          </w:tcPr>
          <w:p>
            <w:pPr>
              <w:pStyle w:val="TableContents"/>
              <w:bidi w:val="0"/>
              <w:spacing w:before="0" w:after="283"/>
              <w:jc w:val="right"/>
              <w:rPr/>
            </w:pPr>
            <w:bookmarkStart w:id="452" w:name="xdx_904_eus-gaap--ShareBasedCompensation"/>
            <w:bookmarkEnd w:id="452"/>
            <w:r>
              <w:rPr/>
              <w:t>(100,000</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bookmarkStart w:id="453" w:name="xdx_90D_eus-gaap--ShareBasedCompensation"/>
            <w:bookmarkEnd w:id="453"/>
            <w:r>
              <w:rPr/>
              <w:t>2,960,000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 during nine months ended September 30,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bookmarkStart w:id="454" w:name="xdx_90C_eus-gaap--ShareBasedCompensation"/>
            <w:bookmarkEnd w:id="454"/>
            <w:r>
              <w:rPr/>
              <w:t>350,000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55" w:name="xdx_90F_eus-gaap--ShareBasedCompensation"/>
            <w:bookmarkEnd w:id="455"/>
            <w:r>
              <w:rPr/>
              <w:t>(300,000</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September 30, 2025</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56" w:name="xdx_90C_eus-gaap--ShareBasedCompensation"/>
            <w:bookmarkEnd w:id="456"/>
            <w:r>
              <w:rPr/>
              <w:t>3,010,000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Released RSUs for nine months ended September 30, 2025</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57" w:name="xdx_907_ecustom--ReleasedRestrictedStock"/>
            <w:bookmarkEnd w:id="457"/>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w:t>
      </w:r>
      <w:bookmarkStart w:id="458" w:name="xdx_90D_ecustom--RestrictedStockUnitsRem"/>
      <w:bookmarkEnd w:id="458"/>
      <w:r>
        <w:rPr>
          <w:rFonts w:ascii="Times New Roman;Times;Serif" w:hAnsi="Times New Roman;Times;Serif"/>
          <w:b w:val="false"/>
          <w:i w:val="false"/>
          <w:caps w:val="false"/>
          <w:smallCaps w:val="false"/>
          <w:sz w:val="20"/>
        </w:rPr>
        <w:t>1,754,500 RSU’s remain unissued in the 2023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smallCaps/>
          <w:sz w:val="20"/>
        </w:rPr>
      </w:pPr>
      <w:bookmarkStart w:id="459" w:name="xdx_80C_eus-gaap--CommitmentsAndContinge"/>
      <w:bookmarkEnd w:id="459"/>
      <w:r>
        <w:rPr>
          <w:rFonts w:ascii="Times New Roman;Times;Serif" w:hAnsi="Times New Roman;Times;Serif"/>
          <w:b/>
          <w:i w:val="false"/>
          <w:smallCaps/>
          <w:sz w:val="20"/>
        </w:rPr>
        <w:t xml:space="preserve">Note 9 – </w:t>
      </w:r>
      <w:bookmarkStart w:id="460" w:name="xdx_82E_zGMH5EKykHN5"/>
      <w:bookmarkEnd w:id="460"/>
      <w:r>
        <w:rPr>
          <w:rFonts w:ascii="Times New Roman;Times;Serif" w:hAnsi="Times New Roman;Times;Serif"/>
          <w:b/>
          <w:i w:val="false"/>
          <w:smallCaps/>
          <w:sz w:val="20"/>
        </w:rPr>
        <w:t>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 of Credit Commitment –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2024, the Company entered into a Line of Credit Agreement (“the Agreement”) with HCWG for borrowings of up to $</w:t>
      </w:r>
      <w:bookmarkStart w:id="461" w:name="xdx_90C_eus-gaap--LineOfCredit_iI_pn3n3_"/>
      <w:bookmarkEnd w:id="461"/>
      <w:r>
        <w:rPr>
          <w:rFonts w:ascii="Times New Roman;Times;Serif" w:hAnsi="Times New Roman;Times;Serif"/>
          <w:b w:val="false"/>
          <w:i w:val="false"/>
          <w:caps w:val="false"/>
          <w:smallCaps w:val="false"/>
          <w:sz w:val="20"/>
        </w:rPr>
        <w:t xml:space="preserve">10.0 million. Borrowings under the Line of Credit Agreement bear interest at </w:t>
      </w:r>
      <w:bookmarkStart w:id="462" w:name="xdx_907_eus-gaap--LineOfCreditFacilityIn"/>
      <w:bookmarkEnd w:id="462"/>
      <w:r>
        <w:rPr>
          <w:rFonts w:ascii="Times New Roman;Times;Serif" w:hAnsi="Times New Roman;Times;Serif"/>
          <w:b w:val="false"/>
          <w:i w:val="false"/>
          <w:caps w:val="false"/>
          <w:smallCaps w:val="false"/>
          <w:sz w:val="20"/>
        </w:rPr>
        <w:t>10.0% per annum and increases to 14% if the Agreement is extended. Interest payments are due on the first business day of each calendar month and the unpaid principal is due on October 12, 2027. No amounts have been borrowed under the facility through September 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agreement, the Company issued HCWG five-year warrants to purchase up to </w:t>
      </w:r>
      <w:bookmarkStart w:id="463" w:name="xdx_90D_ecustom--NumberOfWarrantsToPurch"/>
      <w:bookmarkEnd w:id="463"/>
      <w:r>
        <w:rPr>
          <w:rFonts w:ascii="Times New Roman;Times;Serif" w:hAnsi="Times New Roman;Times;Serif"/>
          <w:b w:val="false"/>
          <w:i w:val="false"/>
          <w:caps w:val="false"/>
          <w:smallCaps w:val="false"/>
          <w:sz w:val="20"/>
        </w:rPr>
        <w:t>312,500 shares of our common stock at an exercise price of $</w:t>
      </w:r>
      <w:bookmarkStart w:id="464" w:name="xdx_90F_eus-gaap--ClassOfWarrantOrRightE"/>
      <w:bookmarkEnd w:id="464"/>
      <w:r>
        <w:rPr>
          <w:rFonts w:ascii="Times New Roman;Times;Serif" w:hAnsi="Times New Roman;Times;Serif"/>
          <w:b w:val="false"/>
          <w:i w:val="false"/>
          <w:caps w:val="false"/>
          <w:smallCaps w:val="false"/>
          <w:sz w:val="20"/>
        </w:rPr>
        <w:t xml:space="preserve">12.00 per share. These warrants expire on </w:t>
      </w:r>
      <w:bookmarkStart w:id="465" w:name="xdx_90D_eus-gaap--WarrantsAndRightsOutst"/>
      <w:bookmarkEnd w:id="465"/>
      <w:r>
        <w:rPr>
          <w:rFonts w:ascii="Times New Roman;Times;Serif" w:hAnsi="Times New Roman;Times;Serif"/>
          <w:b w:val="false"/>
          <w:i w:val="false"/>
          <w:caps w:val="false"/>
          <w:smallCaps w:val="false"/>
          <w:sz w:val="20"/>
        </w:rPr>
        <w:t xml:space="preserve">October 23, 2029. As of December 31, 2024, there were </w:t>
      </w:r>
      <w:bookmarkStart w:id="466" w:name="xdx_901_ecustom--WarrantsVested_c2024123"/>
      <w:bookmarkStart w:id="467" w:name="xdx_90D_eus-gaap--ClassOfWarrantOrRightO"/>
      <w:bookmarkStart w:id="468" w:name="xdx_903_ecustom--WarrantsIssued_c2024123"/>
      <w:bookmarkEnd w:id="466"/>
      <w:bookmarkEnd w:id="467"/>
      <w:bookmarkEnd w:id="468"/>
      <w:r>
        <w:rPr>
          <w:rFonts w:ascii="Times New Roman;Times;Serif" w:hAnsi="Times New Roman;Times;Serif"/>
          <w:b w:val="false"/>
          <w:i w:val="false"/>
          <w:caps w:val="false"/>
          <w:smallCaps w:val="false"/>
          <w:sz w:val="20"/>
        </w:rPr>
        <w:t xml:space="preserve">312,500 warrants issued, outstanding and fully vested. In March 2025, </w:t>
      </w:r>
      <w:bookmarkStart w:id="469" w:name="xdx_909_ecustom--WarrantsExercised_c2025"/>
      <w:bookmarkEnd w:id="469"/>
      <w:r>
        <w:rPr>
          <w:rFonts w:ascii="Times New Roman;Times;Serif" w:hAnsi="Times New Roman;Times;Serif"/>
          <w:b w:val="false"/>
          <w:i w:val="false"/>
          <w:caps w:val="false"/>
          <w:smallCaps w:val="false"/>
          <w:sz w:val="20"/>
        </w:rPr>
        <w:t xml:space="preserve">162,500 warrants were exercised in a cashless exercise, resulting in the issuance of </w:t>
      </w:r>
      <w:bookmarkStart w:id="470" w:name="xdx_90A_eus-gaap--StockIssuedDuringPerio"/>
      <w:bookmarkEnd w:id="470"/>
      <w:r>
        <w:rPr>
          <w:rFonts w:ascii="Times New Roman;Times;Serif" w:hAnsi="Times New Roman;Times;Serif"/>
          <w:b w:val="false"/>
          <w:i w:val="false"/>
          <w:caps w:val="false"/>
          <w:smallCaps w:val="false"/>
          <w:sz w:val="20"/>
        </w:rPr>
        <w:t xml:space="preserve">162,500 shares of common stock. At September 30, 2025, there are </w:t>
      </w:r>
      <w:bookmarkStart w:id="471" w:name="xdx_906_eus-gaap--ShareBasedCompensation"/>
      <w:bookmarkEnd w:id="471"/>
      <w:r>
        <w:rPr>
          <w:rFonts w:ascii="Times New Roman;Times;Serif" w:hAnsi="Times New Roman;Times;Serif"/>
          <w:b w:val="false"/>
          <w:i w:val="false"/>
          <w:caps w:val="false"/>
          <w:smallCaps w:val="false"/>
          <w:sz w:val="20"/>
        </w:rPr>
        <w:t>150,000 shares of common stock remaining available to be purchased under the warrant.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on the grant date was determined using the Black-Scholes valuation model, with the following key assumptions:</w:t>
      </w:r>
    </w:p>
    <w:p>
      <w:pPr>
        <w:pStyle w:val="TextBody"/>
        <w:bidi w:val="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common stock: $</w:t>
            </w:r>
            <w:bookmarkStart w:id="472" w:name="xdx_90A_eus-gaap--SharesIssuedPricePerSh"/>
            <w:bookmarkEnd w:id="472"/>
            <w:r>
              <w:rPr>
                <w:rFonts w:ascii="Times New Roman;Times;Serif" w:hAnsi="Times New Roman;Times;Serif"/>
                <w:b w:val="false"/>
                <w:i w:val="false"/>
                <w:caps w:val="false"/>
                <w:smallCaps w:val="false"/>
                <w:sz w:val="20"/>
              </w:rPr>
              <w:t>12.00</w:t>
            </w:r>
          </w:p>
        </w:tc>
      </w:tr>
    </w:tbl>
    <w:p>
      <w:pPr>
        <w:pStyle w:val="TextBody"/>
        <w:bidi w:val="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w:t>
            </w:r>
            <w:bookmarkStart w:id="473" w:name="xdx_90C_eus-gaap--ShareBasedCompensation"/>
            <w:bookmarkEnd w:id="473"/>
            <w:r>
              <w:rPr>
                <w:rFonts w:ascii="Times New Roman;Times;Serif" w:hAnsi="Times New Roman;Times;Serif"/>
                <w:b w:val="false"/>
                <w:i w:val="false"/>
                <w:caps w:val="false"/>
                <w:smallCaps w:val="false"/>
                <w:sz w:val="20"/>
              </w:rPr>
              <w:t>86%</w:t>
            </w:r>
          </w:p>
        </w:tc>
      </w:tr>
    </w:tbl>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Risk-free interest rate: </w:t>
            </w:r>
            <w:bookmarkStart w:id="474" w:name="xdx_900_eus-gaap--ShareBasedCompensation"/>
            <w:bookmarkEnd w:id="474"/>
            <w:r>
              <w:rPr>
                <w:rFonts w:ascii="Times New Roman;Times;Serif" w:hAnsi="Times New Roman;Times;Serif"/>
                <w:b w:val="false"/>
                <w:i w:val="false"/>
                <w:caps w:val="false"/>
                <w:smallCaps w:val="false"/>
                <w:sz w:val="20"/>
              </w:rPr>
              <w:t>4.82%</w:t>
            </w:r>
          </w:p>
        </w:tc>
      </w:tr>
    </w:tbl>
    <w:p>
      <w:pPr>
        <w:pStyle w:val="TextBody"/>
        <w:bidi w:val="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170"/>
        <w:gridCol w:w="126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 </w:t>
            </w:r>
            <w:bookmarkStart w:id="475" w:name="xdx_908_eus-gaap--SharebasedCompensation"/>
            <w:bookmarkEnd w:id="475"/>
            <w:r>
              <w:rPr>
                <w:rFonts w:ascii="Times New Roman;Times;Serif" w:hAnsi="Times New Roman;Times;Serif"/>
                <w:b w:val="false"/>
                <w:i w:val="false"/>
                <w:caps w:val="false"/>
                <w:smallCaps w:val="false"/>
                <w:sz w:val="20"/>
              </w:rPr>
              <w:t>2.5 years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warrants at inception was $</w:t>
      </w:r>
      <w:bookmarkStart w:id="476" w:name="xdx_903_eus-gaap--FairValueAdjustmentOfW"/>
      <w:bookmarkEnd w:id="476"/>
      <w:r>
        <w:rPr>
          <w:rFonts w:ascii="Times New Roman;Times;Serif" w:hAnsi="Times New Roman;Times;Serif"/>
          <w:b w:val="false"/>
          <w:i w:val="false"/>
          <w:caps w:val="false"/>
          <w:smallCaps w:val="false"/>
          <w:sz w:val="20"/>
        </w:rPr>
        <w:t>2,015,413, which was recorded as additional paid-in capital on the condensed consolidated statement of changes stockholders’ deficit for the year ended December 31, 2024, and as debt issuance costs on the balance sheet. The debt issuance costs are being amortized over the term of the line of credit and amounted to $</w:t>
      </w:r>
      <w:bookmarkStart w:id="477" w:name="xdx_902_eus-gaap--AmortizationOfFinancin"/>
      <w:bookmarkEnd w:id="477"/>
      <w:r>
        <w:rPr>
          <w:rFonts w:ascii="Times New Roman;Times;Serif" w:hAnsi="Times New Roman;Times;Serif"/>
          <w:b w:val="false"/>
          <w:i w:val="false"/>
          <w:caps w:val="false"/>
          <w:smallCaps w:val="false"/>
          <w:sz w:val="20"/>
        </w:rPr>
        <w:t>167,951 and $</w:t>
      </w:r>
      <w:bookmarkStart w:id="478" w:name="xdx_904_eus-gaap--AmortizationOfFinancin"/>
      <w:bookmarkEnd w:id="478"/>
      <w:r>
        <w:rPr>
          <w:rFonts w:ascii="Times New Roman;Times;Serif" w:hAnsi="Times New Roman;Times;Serif"/>
          <w:b w:val="false"/>
          <w:i w:val="false"/>
          <w:caps w:val="false"/>
          <w:smallCaps w:val="false"/>
          <w:sz w:val="20"/>
        </w:rPr>
        <w:t>503,853 for the three and nine months ended September 30, 2025. At September 30, 2025 and December 31, 2024, unamortized debt issuance costs total $</w:t>
      </w:r>
      <w:bookmarkStart w:id="479" w:name="xdx_901_eus-gaap--UnamortizedDebtIssuanc"/>
      <w:bookmarkEnd w:id="479"/>
      <w:r>
        <w:rPr>
          <w:rFonts w:ascii="Times New Roman;Times;Serif" w:hAnsi="Times New Roman;Times;Serif"/>
          <w:b w:val="false"/>
          <w:i w:val="false"/>
          <w:caps w:val="false"/>
          <w:smallCaps w:val="false"/>
          <w:sz w:val="20"/>
        </w:rPr>
        <w:t>1,366,458 and $</w:t>
      </w:r>
      <w:bookmarkStart w:id="480" w:name="xdx_90A_eus-gaap--UnamortizedDebtIssuanc"/>
      <w:bookmarkEnd w:id="480"/>
      <w:r>
        <w:rPr>
          <w:rFonts w:ascii="Times New Roman;Times;Serif" w:hAnsi="Times New Roman;Times;Serif"/>
          <w:b w:val="false"/>
          <w:i w:val="false"/>
          <w:caps w:val="false"/>
          <w:smallCaps w:val="false"/>
          <w:sz w:val="20"/>
        </w:rPr>
        <w:t>1,870,316, respectively, which will be amortized over the remaining 13 months of the facility.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bookmarkStart w:id="481" w:name="xdx_235_zMQobSdGcele"/>
      <w:bookmarkEnd w:id="481"/>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various disputes, claims, liens and litigation matters arising out of the normal course of business which could result in a material adverse effect on the Company’s combined financial position, results of operations or cash flows. Liabilities for loss contingencies arising from claims, assessments, litigation, fines and penalties and other sources are recorded when it is probable that liability has been incurred, and the amount of the assessment can be reasonably estimated. As of September 30, 2025 and December 31, 2024, the Company had no liabilities recorded for loss contingencies, except as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 - Orient EuroPharma Co.,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Times;Serif" w:hAnsi="Times New Roman;Times;Serif"/>
          <w:b w:val="false"/>
          <w:i/>
          <w:caps w:val="false"/>
          <w:smallCaps w:val="false"/>
          <w:sz w:val="20"/>
        </w:rPr>
        <w:t>perillyl alcoho</w:t>
      </w:r>
      <w:r>
        <w:rPr>
          <w:rFonts w:ascii="Times New Roman;Times;Serif" w:hAnsi="Times New Roman;Times;Serif"/>
          <w:b w:val="false"/>
          <w:i w:val="false"/>
          <w:caps w:val="false"/>
          <w:smallCaps w:val="false"/>
          <w:sz w:val="20"/>
        </w:rPr>
        <w:t>l (“Licensed Product”), in the territories specified in the license agreement (“Territory”).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w:t>
      </w:r>
      <w:bookmarkStart w:id="482" w:name="xdx_90B_eus-gaap--SettlementLiabilitiesC"/>
      <w:bookmarkEnd w:id="482"/>
      <w:r>
        <w:rPr>
          <w:rFonts w:ascii="Times New Roman;Times;Serif" w:hAnsi="Times New Roman;Times;Serif"/>
          <w:b w:val="false"/>
          <w:i w:val="false"/>
          <w:caps w:val="false"/>
          <w:smallCaps w:val="false"/>
          <w:sz w:val="20"/>
        </w:rPr>
        <w:t>4,000,000 payable by the Company to OEP within ten days of the date the Company completes its initial public offering. The Company has a litigation settlement payable of $</w:t>
      </w:r>
      <w:bookmarkStart w:id="483" w:name="xdx_908_eus-gaap--SettlementLiabilitiesC"/>
      <w:bookmarkEnd w:id="483"/>
      <w:r>
        <w:rPr>
          <w:rFonts w:ascii="Times New Roman;Times;Serif" w:hAnsi="Times New Roman;Times;Serif"/>
          <w:b w:val="false"/>
          <w:i w:val="false"/>
          <w:caps w:val="false"/>
          <w:smallCaps w:val="false"/>
          <w:sz w:val="20"/>
        </w:rPr>
        <w:t>4,000,000 in the accompanying condensed consolidated balance sheets as of September 30, 2025 and December 31, 2024, respectively. As of the date of this filing, the Company has not paid the litigation settlement amount.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IPLSA. This matter was settled on October 16, 2023, and the Company agreed to pay the vendor $</w:t>
      </w:r>
      <w:bookmarkStart w:id="484" w:name="xdx_908_eus-gaap--SettlementLiabilitiesC"/>
      <w:bookmarkEnd w:id="484"/>
      <w:r>
        <w:rPr>
          <w:rFonts w:ascii="Times New Roman;Times;Serif" w:hAnsi="Times New Roman;Times;Serif"/>
          <w:b w:val="false"/>
          <w:i w:val="false"/>
          <w:caps w:val="false"/>
          <w:smallCaps w:val="false"/>
          <w:sz w:val="20"/>
        </w:rPr>
        <w:t>600,000 within 5 business days of the close of the date that the Company completes an IPO or March 31, 2024, whichever occurs first. The Company has a litigation settlement payable in the accompanying condensed consolidated balance sheet at September 30, 2025 and December 31, 2024. As of the date of this filing, the Company has not paid the litigation settlement amount.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2024, a vendor agreed to extend the payment until May 15, 2024 for payment of an additional $25,000, payable on demand. On July 25, 2024, the arbitrator granted the implementation of interest at the statutory rate on the unpaid balance commencing May 15, 2024 until paid, therefore an additional $</w:t>
      </w:r>
      <w:bookmarkStart w:id="485" w:name="xdx_908_eus-gaap--InterestExpense_c20250"/>
      <w:bookmarkEnd w:id="485"/>
      <w:r>
        <w:rPr>
          <w:rFonts w:ascii="Times New Roman;Times;Serif" w:hAnsi="Times New Roman;Times;Serif"/>
          <w:b w:val="false"/>
          <w:i w:val="false"/>
          <w:caps w:val="false"/>
          <w:smallCaps w:val="false"/>
          <w:sz w:val="20"/>
        </w:rPr>
        <w:t>48,750 and $</w:t>
      </w:r>
      <w:bookmarkStart w:id="486" w:name="xdx_903_eus-gaap--InterestExpense_c20250"/>
      <w:bookmarkEnd w:id="486"/>
      <w:r>
        <w:rPr>
          <w:rFonts w:ascii="Times New Roman;Times;Serif" w:hAnsi="Times New Roman;Times;Serif"/>
          <w:b w:val="false"/>
          <w:i w:val="false"/>
          <w:caps w:val="false"/>
          <w:smallCaps w:val="false"/>
          <w:sz w:val="20"/>
        </w:rPr>
        <w:t>146,250 of interest expense is recognized in the accompanying condensed consolidated statement of operations during the three and nine months ended September 30,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2025 and December 31, 2024, an aggregate of $</w:t>
      </w:r>
      <w:bookmarkStart w:id="487" w:name="xdx_904_eus-gaap--InterestPayableCurrent"/>
      <w:bookmarkEnd w:id="487"/>
      <w:r>
        <w:rPr>
          <w:rFonts w:ascii="Times New Roman;Times;Serif" w:hAnsi="Times New Roman;Times;Serif"/>
          <w:b w:val="false"/>
          <w:i w:val="false"/>
          <w:caps w:val="false"/>
          <w:smallCaps w:val="false"/>
          <w:sz w:val="20"/>
        </w:rPr>
        <w:t>146,250 and $</w:t>
      </w:r>
      <w:bookmarkStart w:id="488" w:name="xdx_90E_eus-gaap--InterestPayableCurrent"/>
      <w:bookmarkEnd w:id="488"/>
      <w:r>
        <w:rPr>
          <w:rFonts w:ascii="Times New Roman;Times;Serif" w:hAnsi="Times New Roman;Times;Serif"/>
          <w:b w:val="false"/>
          <w:i w:val="false"/>
          <w:caps w:val="false"/>
          <w:smallCaps w:val="false"/>
          <w:sz w:val="20"/>
        </w:rPr>
        <w:t>41,250 of accrued interest is included in litigation settlement payable in the accompanying condensed consolidated balance sheet.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was awarded a grant totaling $</w:t>
      </w:r>
      <w:bookmarkStart w:id="489" w:name="xdx_909_ecustom--ProceedsFromGrant_c2025"/>
      <w:bookmarkEnd w:id="489"/>
      <w:r>
        <w:rPr>
          <w:rFonts w:ascii="Times New Roman;Times;Serif" w:hAnsi="Times New Roman;Times;Serif"/>
          <w:b w:val="false"/>
          <w:i w:val="false"/>
          <w:caps w:val="false"/>
          <w:smallCaps w:val="false"/>
          <w:sz w:val="20"/>
        </w:rPr>
        <w:t>400,000 in gross proceeds from the National Institutes of Health (NIH). The Company’s portion of the total proceeds made available from the NIH Grant is approximately $</w:t>
      </w:r>
      <w:bookmarkStart w:id="490" w:name="xdx_903_ecustom--SubcontractorCosts_c202"/>
      <w:bookmarkEnd w:id="490"/>
      <w:r>
        <w:rPr>
          <w:rFonts w:ascii="Times New Roman;Times;Serif" w:hAnsi="Times New Roman;Times;Serif"/>
          <w:b w:val="false"/>
          <w:i w:val="false"/>
          <w:caps w:val="false"/>
          <w:smallCaps w:val="false"/>
          <w:sz w:val="20"/>
        </w:rPr>
        <w:t>160,000, net of subcontractor costs, as allowable expenses are incurred. For the three and nine months ended September 30, 2025 no allowable expenses under the NIH grant were incurred by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was awarded a grant totaling approximately $</w:t>
      </w:r>
      <w:bookmarkStart w:id="491" w:name="xdx_901_ecustom--ProceedsFromGrant_c2025"/>
      <w:bookmarkEnd w:id="491"/>
      <w:r>
        <w:rPr>
          <w:rFonts w:ascii="Times New Roman;Times;Serif" w:hAnsi="Times New Roman;Times;Serif"/>
          <w:b w:val="false"/>
          <w:i w:val="false"/>
          <w:caps w:val="false"/>
          <w:smallCaps w:val="false"/>
          <w:sz w:val="20"/>
        </w:rPr>
        <w:t>1,007,000 in gross proceeds from the National Institutes of Health (NIH). The Company’s portion of the total proceeds made available from the NIH Grant is approximately $</w:t>
      </w:r>
      <w:bookmarkStart w:id="492" w:name="xdx_907_ecustom--SubcontractorCosts_c202"/>
      <w:bookmarkEnd w:id="492"/>
      <w:r>
        <w:rPr>
          <w:rFonts w:ascii="Times New Roman;Times;Serif" w:hAnsi="Times New Roman;Times;Serif"/>
          <w:b w:val="false"/>
          <w:i w:val="false"/>
          <w:caps w:val="false"/>
          <w:smallCaps w:val="false"/>
          <w:sz w:val="20"/>
        </w:rPr>
        <w:t xml:space="preserve">245,000, net of subcontractor costs, as allowable expenses are incurred. For the three and nine months ended September 30, 2025 </w:t>
      </w:r>
      <w:bookmarkStart w:id="493" w:name="xdx_908_ecustom--AllowableExpenses_do_c2"/>
      <w:bookmarkStart w:id="494" w:name="xdx_905_ecustom--AllowableExpenses_do_c2"/>
      <w:bookmarkEnd w:id="493"/>
      <w:bookmarkEnd w:id="494"/>
      <w:r>
        <w:rPr>
          <w:rFonts w:ascii="Times New Roman;Times;Serif" w:hAnsi="Times New Roman;Times;Serif"/>
          <w:b w:val="false"/>
          <w:i w:val="false"/>
          <w:caps w:val="false"/>
          <w:smallCaps w:val="false"/>
          <w:sz w:val="20"/>
        </w:rPr>
        <w:t>no allowable expenses under the NIH grant were incurred by the Company.</w:t>
      </w:r>
    </w:p>
    <w:p>
      <w:pPr>
        <w:pStyle w:val="TextBody"/>
        <w:bidi w:val="0"/>
        <w:jc w:val="left"/>
        <w:rPr>
          <w:caps w:val="false"/>
          <w:smallCaps w:val="false"/>
        </w:rPr>
      </w:pPr>
      <w:bookmarkStart w:id="495" w:name="xdx_237_zNVFojyBuwK1"/>
      <w:bookmarkEnd w:id="49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96" w:name="xdx_80D_eus-gaap--SegmentReportingDisclo"/>
      <w:bookmarkEnd w:id="496"/>
      <w:r>
        <w:rPr>
          <w:rFonts w:ascii="Times New Roman;Times;Serif" w:hAnsi="Times New Roman;Times;Serif"/>
          <w:b/>
          <w:i w:val="false"/>
          <w:smallCaps/>
          <w:sz w:val="20"/>
        </w:rPr>
        <w:t>Note 10</w:t>
      </w:r>
      <w:r>
        <w:rPr>
          <w:rFonts w:ascii="Times New Roman;Times;Serif" w:hAnsi="Times New Roman;Times;Serif"/>
          <w:b/>
          <w:i w:val="false"/>
          <w:caps w:val="false"/>
          <w:smallCaps w:val="false"/>
          <w:sz w:val="20"/>
        </w:rPr>
        <w:t xml:space="preserve"> – </w:t>
      </w:r>
      <w:bookmarkStart w:id="497" w:name="xdx_82D_zk93LrYdZsCc"/>
      <w:bookmarkEnd w:id="497"/>
      <w:r>
        <w:rPr>
          <w:rFonts w:ascii="Times New Roman;Times;Serif" w:hAnsi="Times New Roman;Times;Serif"/>
          <w:b/>
          <w:i w:val="false"/>
          <w:smallCaps/>
          <w:sz w:val="20"/>
        </w:rPr>
        <w:t>Segment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business activities on a consolidated basis and operates as a single operating segment: Biotechnology. The accounting policies of the Biotechnology segment are the same as those described in Note 1 – 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Decision Maker (“CODM”) is our Chief Executive Officer, Amir Heshmatpour. The CODM uses net loss, as reported on our condensed consolidated statement of operations, in evaluating the performance of the biotechnology segment and determining how to allocate resources of the Company as a whole, including investing in our research and development programs and acquisition/licensing strategy. The CODM does not review assets in evaluating the results of the biotechnology segment, and therefore, such information is not presented. The following supplemental information breaks down the research and development costs for the three and nine months ended September 30, 2025 and 2024, respectively.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8" w:name="xdx_899_eus-gaap--ScheduleOfSegmentRepor"/>
      <w:bookmarkStart w:id="499" w:name="xdx_899_eus-gaap--ScheduleOfSegmentRepor"/>
      <w:bookmarkEnd w:id="499"/>
    </w:p>
    <w:tbl>
      <w:tblPr>
        <w:tblW w:w="7910" w:type="dxa"/>
        <w:jc w:val="left"/>
        <w:tblInd w:w="0" w:type="dxa"/>
        <w:tblLayout w:type="fixed"/>
        <w:tblCellMar>
          <w:top w:w="0" w:type="dxa"/>
          <w:left w:w="0" w:type="dxa"/>
          <w:bottom w:w="0" w:type="dxa"/>
          <w:right w:w="0" w:type="dxa"/>
        </w:tblCellMar>
      </w:tblPr>
      <w:tblGrid>
        <w:gridCol w:w="5075"/>
        <w:gridCol w:w="60"/>
        <w:gridCol w:w="140"/>
        <w:gridCol w:w="1175"/>
        <w:gridCol w:w="95"/>
        <w:gridCol w:w="60"/>
        <w:gridCol w:w="140"/>
        <w:gridCol w:w="1055"/>
        <w:gridCol w:w="110"/>
      </w:tblGrid>
      <w:tr>
        <w:trPr/>
        <w:tc>
          <w:tcPr>
            <w:tcW w:w="5075" w:type="dxa"/>
            <w:tcBorders/>
            <w:shd w:fill="FFFFFF" w:val="clear"/>
            <w:vAlign w:val="center"/>
          </w:tcPr>
          <w:p>
            <w:pPr>
              <w:pStyle w:val="TableContents"/>
              <w:bidi w:val="0"/>
              <w:spacing w:before="0" w:after="283"/>
              <w:ind w:left="0" w:right="0" w:hanging="180"/>
              <w:jc w:val="left"/>
              <w:rPr/>
            </w:pPr>
            <w:bookmarkStart w:id="500" w:name="xdx_8B0_z4WpQ31BWtC9"/>
            <w:bookmarkEnd w:id="500"/>
            <w:r>
              <w:rPr/>
              <w:t> </w:t>
            </w:r>
            <w:r>
              <w:rPr/>
              <w:t xml:space="preserve">Schedule of segment reporting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01" w:name="xdx_49F_20250101__20250930_zPcp8C8NMvt1"/>
            <w:bookmarkEnd w:id="501"/>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02" w:name="xdx_49E_20240101__20240930_z7hvEqVKsOTh"/>
            <w:bookmarkEnd w:id="502"/>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Nine Months Ended</w:t>
              <w:br/>
              <w:t>September 30,</w:t>
            </w:r>
          </w:p>
        </w:tc>
        <w:tc>
          <w:tcPr>
            <w:tcW w:w="110" w:type="dxa"/>
            <w:tcBorders/>
            <w:vAlign w:val="center"/>
          </w:tcPr>
          <w:p>
            <w:pPr>
              <w:pStyle w:val="TableContents"/>
              <w:bidi w:val="0"/>
              <w:spacing w:before="0" w:after="283"/>
              <w:ind w:left="0" w:right="0" w:hanging="180"/>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3" w:name="xdx_906_eus-gaap--Revenues_pp0d_c2025010"/>
            <w:bookmarkEnd w:id="503"/>
            <w:r>
              <w:rPr/>
              <w:t>39,990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4" w:name="xdx_90B_eus-gaap--Revenues_pp0d_c2024010"/>
            <w:bookmarkEnd w:id="504"/>
            <w:r>
              <w:rPr/>
              <w:t>63,000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Less: Significant and other segment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NEO100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505" w:name="xdx_900_eus-gaap--ResearchAndDevelopment"/>
            <w:bookmarkEnd w:id="505"/>
            <w:r>
              <w:rPr/>
              <w:t>851,664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06" w:name="xdx_90E_eus-gaap--ResearchAndDevelopment"/>
            <w:bookmarkEnd w:id="506"/>
            <w:r>
              <w:rPr/>
              <w:t>693,328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NEO100-02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507" w:name="xdx_904_eus-gaap--ResearchAndDevelopment"/>
            <w:bookmarkEnd w:id="507"/>
            <w:r>
              <w:rPr/>
              <w:t>327,373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508" w:name="xdx_906_eus-gaap--ResearchAndDevelopment"/>
            <w:bookmarkEnd w:id="508"/>
            <w:r>
              <w:rPr/>
              <w:t>203,075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NEO212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509" w:name="xdx_904_eus-gaap--ResearchAndDevelopment"/>
            <w:bookmarkEnd w:id="509"/>
            <w:r>
              <w:rPr/>
              <w:t>798,997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10" w:name="xdx_902_eus-gaap--ResearchAndDevelopment"/>
            <w:bookmarkEnd w:id="510"/>
            <w:r>
              <w:rPr/>
              <w:t>549,249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Pediatric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511" w:name="xdx_906_eus-gaap--ResearchAndDevelopment"/>
            <w:bookmarkEnd w:id="511"/>
            <w:r>
              <w:rPr/>
              <w:t>169,663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512" w:name="xdx_904_eus-gaap--ResearchAndDevelopment"/>
            <w:bookmarkEnd w:id="512"/>
            <w:r>
              <w:rPr/>
              <w:t>103,338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Laboratory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513" w:name="xdx_907_eus-gaap--ResearchAndDevelopment"/>
            <w:bookmarkEnd w:id="513"/>
            <w:r>
              <w:rPr/>
              <w:t>192,377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14" w:name="xdx_901_eus-gaap--ResearchAndDevelopment"/>
            <w:bookmarkEnd w:id="514"/>
            <w:r>
              <w:rPr/>
              <w:t>362,858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15" w:name="xdx_90A_eus-gaap--ResearchAndDevelopment"/>
            <w:bookmarkEnd w:id="515"/>
            <w:r>
              <w:rPr/>
              <w:t>50,518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16" w:name="xdx_904_eus-gaap--ResearchAndDevelopment"/>
            <w:bookmarkEnd w:id="516"/>
            <w:r>
              <w:rPr/>
              <w:t>53,878</w:t>
            </w:r>
          </w:p>
        </w:tc>
        <w:tc>
          <w:tcPr>
            <w:tcW w:w="110" w:type="dxa"/>
            <w:tcBorders/>
            <w:shd w:fill="CCEEFF" w:val="clear"/>
            <w:vAlign w:val="center"/>
          </w:tcPr>
          <w:p>
            <w:pPr>
              <w:pStyle w:val="TableContents"/>
              <w:bidi w:val="0"/>
              <w:spacing w:before="0" w:after="283"/>
              <w:ind w:left="0" w:right="0" w:hanging="180"/>
              <w:jc w:val="left"/>
              <w:rPr/>
            </w:pPr>
            <w:r>
              <w:rPr/>
              <w:t> </w:t>
            </w:r>
            <w:bookmarkStart w:id="517" w:name="xdx_40B_eus-gaap--ResearchAndDevelopment"/>
            <w:bookmarkEnd w:id="517"/>
          </w:p>
        </w:tc>
      </w:tr>
      <w:tr>
        <w:trPr/>
        <w:tc>
          <w:tcPr>
            <w:tcW w:w="5075" w:type="dxa"/>
            <w:tcBorders/>
            <w:shd w:fill="FFFFFF" w:val="clear"/>
            <w:vAlign w:val="center"/>
          </w:tcPr>
          <w:p>
            <w:pPr>
              <w:pStyle w:val="TableContents"/>
              <w:bidi w:val="0"/>
              <w:spacing w:before="0" w:after="283"/>
              <w:jc w:val="left"/>
              <w:rPr/>
            </w:pPr>
            <w:r>
              <w:rPr/>
              <w:t>Total research and development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2,390,592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1,965,726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518" w:name="xdx_40B_ecustom--AdvisoryFees_i_pp0p"/>
            <w:bookmarkEnd w:id="518"/>
          </w:p>
        </w:tc>
      </w:tr>
      <w:tr>
        <w:trPr/>
        <w:tc>
          <w:tcPr>
            <w:tcW w:w="5075" w:type="dxa"/>
            <w:tcBorders/>
            <w:shd w:fill="FFFFFF" w:val="clear"/>
            <w:vAlign w:val="center"/>
          </w:tcPr>
          <w:p>
            <w:pPr>
              <w:pStyle w:val="TableContents"/>
              <w:bidi w:val="0"/>
              <w:spacing w:before="0" w:after="283"/>
              <w:jc w:val="left"/>
              <w:rPr/>
            </w:pPr>
            <w:r>
              <w:rPr/>
              <w:t>Advisory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11,737,806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500,000</w:t>
            </w:r>
          </w:p>
        </w:tc>
        <w:tc>
          <w:tcPr>
            <w:tcW w:w="110" w:type="dxa"/>
            <w:tcBorders/>
            <w:shd w:fill="FFFFFF" w:val="clear"/>
            <w:vAlign w:val="center"/>
          </w:tcPr>
          <w:p>
            <w:pPr>
              <w:pStyle w:val="TableContents"/>
              <w:bidi w:val="0"/>
              <w:spacing w:before="0" w:after="283"/>
              <w:ind w:left="0" w:right="0" w:hanging="180"/>
              <w:jc w:val="left"/>
              <w:rPr/>
            </w:pPr>
            <w:r>
              <w:rPr/>
              <w:t> </w:t>
            </w:r>
            <w:bookmarkStart w:id="519" w:name="xdx_406_eus-gaap--LegalFees_i_pp0p"/>
            <w:bookmarkEnd w:id="519"/>
          </w:p>
        </w:tc>
      </w:tr>
      <w:tr>
        <w:trPr/>
        <w:tc>
          <w:tcPr>
            <w:tcW w:w="5075" w:type="dxa"/>
            <w:tcBorders/>
            <w:shd w:fill="CCEEFF" w:val="clear"/>
            <w:vAlign w:val="center"/>
          </w:tcPr>
          <w:p>
            <w:pPr>
              <w:pStyle w:val="TableContents"/>
              <w:bidi w:val="0"/>
              <w:spacing w:before="0" w:after="283"/>
              <w:jc w:val="left"/>
              <w:rPr/>
            </w:pPr>
            <w:r>
              <w:rPr/>
              <w:t>Legal and accounting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1,754,287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1,374,869</w:t>
            </w:r>
          </w:p>
        </w:tc>
        <w:tc>
          <w:tcPr>
            <w:tcW w:w="110" w:type="dxa"/>
            <w:tcBorders/>
            <w:shd w:fill="CCEEFF" w:val="clear"/>
            <w:vAlign w:val="center"/>
          </w:tcPr>
          <w:p>
            <w:pPr>
              <w:pStyle w:val="TableContents"/>
              <w:bidi w:val="0"/>
              <w:spacing w:before="0" w:after="283"/>
              <w:ind w:left="0" w:right="0" w:hanging="180"/>
              <w:jc w:val="left"/>
              <w:rPr/>
            </w:pPr>
            <w:r>
              <w:rPr/>
              <w:t> </w:t>
            </w:r>
            <w:bookmarkStart w:id="520" w:name="xdx_409_eus-gaap--LaborAndRelatedExpense"/>
            <w:bookmarkEnd w:id="520"/>
          </w:p>
        </w:tc>
      </w:tr>
      <w:tr>
        <w:trPr/>
        <w:tc>
          <w:tcPr>
            <w:tcW w:w="5075" w:type="dxa"/>
            <w:tcBorders/>
            <w:shd w:fill="FFFFFF" w:val="clear"/>
            <w:vAlign w:val="center"/>
          </w:tcPr>
          <w:p>
            <w:pPr>
              <w:pStyle w:val="TableContents"/>
              <w:bidi w:val="0"/>
              <w:spacing w:before="0" w:after="283"/>
              <w:jc w:val="left"/>
              <w:rPr/>
            </w:pPr>
            <w:r>
              <w:rPr/>
              <w:t>Employee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516,428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331,873</w:t>
            </w:r>
          </w:p>
        </w:tc>
        <w:tc>
          <w:tcPr>
            <w:tcW w:w="110" w:type="dxa"/>
            <w:tcBorders/>
            <w:shd w:fill="FFFFFF" w:val="clear"/>
            <w:vAlign w:val="center"/>
          </w:tcPr>
          <w:p>
            <w:pPr>
              <w:pStyle w:val="TableContents"/>
              <w:bidi w:val="0"/>
              <w:spacing w:before="0" w:after="283"/>
              <w:ind w:left="0" w:right="0" w:hanging="180"/>
              <w:jc w:val="left"/>
              <w:rPr/>
            </w:pPr>
            <w:r>
              <w:rPr/>
              <w:t> </w:t>
            </w:r>
            <w:bookmarkStart w:id="521" w:name="xdx_40A_eus-gaap--AdjustmentForAmortizat"/>
            <w:bookmarkEnd w:id="521"/>
          </w:p>
        </w:tc>
      </w:tr>
      <w:tr>
        <w:trPr/>
        <w:tc>
          <w:tcPr>
            <w:tcW w:w="507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798,311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178,869</w:t>
            </w:r>
          </w:p>
        </w:tc>
        <w:tc>
          <w:tcPr>
            <w:tcW w:w="110" w:type="dxa"/>
            <w:tcBorders/>
            <w:shd w:fill="CCEEFF" w:val="clear"/>
            <w:vAlign w:val="center"/>
          </w:tcPr>
          <w:p>
            <w:pPr>
              <w:pStyle w:val="TableContents"/>
              <w:bidi w:val="0"/>
              <w:spacing w:before="0" w:after="283"/>
              <w:ind w:left="0" w:right="0" w:hanging="180"/>
              <w:jc w:val="left"/>
              <w:rPr/>
            </w:pPr>
            <w:r>
              <w:rPr/>
              <w:t> </w:t>
            </w:r>
            <w:bookmarkStart w:id="522" w:name="xdx_402_ecustom--InvestorRelations_i_pp0"/>
            <w:bookmarkEnd w:id="522"/>
          </w:p>
        </w:tc>
      </w:tr>
      <w:tr>
        <w:trPr/>
        <w:tc>
          <w:tcPr>
            <w:tcW w:w="5075" w:type="dxa"/>
            <w:tcBorders/>
            <w:shd w:fill="FFFFFF" w:val="clear"/>
            <w:vAlign w:val="center"/>
          </w:tcPr>
          <w:p>
            <w:pPr>
              <w:pStyle w:val="TableContents"/>
              <w:bidi w:val="0"/>
              <w:spacing w:before="0" w:after="283"/>
              <w:jc w:val="left"/>
              <w:rPr/>
            </w:pPr>
            <w:r>
              <w:rPr/>
              <w:t>Investor relations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959,431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18,623</w:t>
            </w:r>
          </w:p>
        </w:tc>
        <w:tc>
          <w:tcPr>
            <w:tcW w:w="110" w:type="dxa"/>
            <w:tcBorders/>
            <w:shd w:fill="FFFFFF" w:val="clear"/>
            <w:vAlign w:val="center"/>
          </w:tcPr>
          <w:p>
            <w:pPr>
              <w:pStyle w:val="TableContents"/>
              <w:bidi w:val="0"/>
              <w:spacing w:before="0" w:after="283"/>
              <w:ind w:left="0" w:right="0" w:hanging="180"/>
              <w:jc w:val="left"/>
              <w:rPr/>
            </w:pPr>
            <w:r>
              <w:rPr/>
              <w:t> </w:t>
            </w:r>
            <w:bookmarkStart w:id="523" w:name="xdx_405_eus-gaap--ShareBasedCompensation"/>
            <w:bookmarkEnd w:id="523"/>
          </w:p>
        </w:tc>
      </w:tr>
      <w:tr>
        <w:trPr/>
        <w:tc>
          <w:tcPr>
            <w:tcW w:w="507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25,964,096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524" w:name="xdx_40B_eus-gaap--OtherGeneralAndAdminis"/>
            <w:bookmarkEnd w:id="524"/>
          </w:p>
        </w:tc>
      </w:tr>
      <w:tr>
        <w:trPr/>
        <w:tc>
          <w:tcPr>
            <w:tcW w:w="5075" w:type="dxa"/>
            <w:tcBorders/>
            <w:shd w:fill="FFFFFF" w:val="clear"/>
            <w:vAlign w:val="center"/>
          </w:tcPr>
          <w:p>
            <w:pPr>
              <w:pStyle w:val="TableContents"/>
              <w:bidi w:val="0"/>
              <w:spacing w:before="0" w:after="283"/>
              <w:jc w:val="left"/>
              <w:rPr/>
            </w:pPr>
            <w:r>
              <w:rPr/>
              <w:t>Other 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1,260,873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721,831</w:t>
            </w:r>
          </w:p>
        </w:tc>
        <w:tc>
          <w:tcPr>
            <w:tcW w:w="110" w:type="dxa"/>
            <w:tcBorders/>
            <w:shd w:fill="FFFFFF" w:val="clear"/>
            <w:vAlign w:val="center"/>
          </w:tcPr>
          <w:p>
            <w:pPr>
              <w:pStyle w:val="TableContents"/>
              <w:bidi w:val="0"/>
              <w:spacing w:before="0" w:after="283"/>
              <w:ind w:left="0" w:right="0" w:hanging="180"/>
              <w:jc w:val="left"/>
              <w:rPr/>
            </w:pPr>
            <w:r>
              <w:rPr/>
              <w:t> </w:t>
            </w:r>
            <w:bookmarkStart w:id="525" w:name="xdx_404_eus-gaap--InterestExpense_i_pp0p"/>
            <w:bookmarkEnd w:id="525"/>
          </w:p>
        </w:tc>
      </w:tr>
      <w:tr>
        <w:trPr/>
        <w:tc>
          <w:tcPr>
            <w:tcW w:w="5075" w:type="dxa"/>
            <w:tcBorders/>
            <w:shd w:fill="CCEEFF" w:val="clear"/>
            <w:vAlign w:val="center"/>
          </w:tcPr>
          <w:p>
            <w:pPr>
              <w:pStyle w:val="TableContents"/>
              <w:bidi w:val="0"/>
              <w:spacing w:before="0" w:after="283"/>
              <w:jc w:val="left"/>
              <w:rPr/>
            </w:pPr>
            <w:r>
              <w:rPr/>
              <w:t>Interest expense - related parties’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1,227,487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2,559,456</w:t>
            </w:r>
          </w:p>
        </w:tc>
        <w:tc>
          <w:tcPr>
            <w:tcW w:w="110" w:type="dxa"/>
            <w:tcBorders/>
            <w:shd w:fill="CCEEFF" w:val="clear"/>
            <w:vAlign w:val="center"/>
          </w:tcPr>
          <w:p>
            <w:pPr>
              <w:pStyle w:val="TableContents"/>
              <w:bidi w:val="0"/>
              <w:spacing w:before="0" w:after="283"/>
              <w:ind w:left="0" w:right="0" w:hanging="180"/>
              <w:jc w:val="left"/>
              <w:rPr/>
            </w:pPr>
            <w:r>
              <w:rPr/>
              <w:t> </w:t>
            </w:r>
            <w:bookmarkStart w:id="526" w:name="xdx_400_eus-gaap--GainsLossesOnExtinguis"/>
            <w:bookmarkEnd w:id="526"/>
          </w:p>
        </w:tc>
      </w:tr>
      <w:tr>
        <w:trPr/>
        <w:tc>
          <w:tcPr>
            <w:tcW w:w="5075" w:type="dxa"/>
            <w:tcBorders/>
            <w:shd w:fill="FFFFFF" w:val="clear"/>
            <w:vAlign w:val="center"/>
          </w:tcPr>
          <w:p>
            <w:pPr>
              <w:pStyle w:val="TableContents"/>
              <w:bidi w:val="0"/>
              <w:spacing w:before="0" w:after="283"/>
              <w:jc w:val="left"/>
              <w:rPr/>
            </w:pPr>
            <w:r>
              <w:rPr/>
              <w:t>Loss on extinguishment of Bridge loan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2,069,923</w:t>
            </w:r>
          </w:p>
        </w:tc>
        <w:tc>
          <w:tcPr>
            <w:tcW w:w="110" w:type="dxa"/>
            <w:tcBorders/>
            <w:shd w:fill="FFFFFF" w:val="clear"/>
            <w:vAlign w:val="center"/>
          </w:tcPr>
          <w:p>
            <w:pPr>
              <w:pStyle w:val="TableContents"/>
              <w:bidi w:val="0"/>
              <w:spacing w:before="0" w:after="283"/>
              <w:ind w:left="0" w:right="0" w:hanging="180"/>
              <w:jc w:val="left"/>
              <w:rPr/>
            </w:pPr>
            <w:r>
              <w:rPr/>
              <w:t> </w:t>
            </w:r>
            <w:bookmarkStart w:id="527" w:name="xdx_403_eus-gaap--LitigationSettlementLo"/>
            <w:bookmarkEnd w:id="527"/>
          </w:p>
        </w:tc>
      </w:tr>
      <w:tr>
        <w:trPr/>
        <w:tc>
          <w:tcPr>
            <w:tcW w:w="5075" w:type="dxa"/>
            <w:tcBorders/>
            <w:shd w:fill="CCEEFF" w:val="clear"/>
            <w:vAlign w:val="center"/>
          </w:tcPr>
          <w:p>
            <w:pPr>
              <w:pStyle w:val="TableContents"/>
              <w:bidi w:val="0"/>
              <w:spacing w:before="0" w:after="283"/>
              <w:jc w:val="left"/>
              <w:rPr/>
            </w:pPr>
            <w:r>
              <w:rPr/>
              <w:t>Loss on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528" w:name="xdx_401_eus-gaap--OtherIncome_i_pp0p"/>
            <w:bookmarkEnd w:id="528"/>
          </w:p>
        </w:tc>
      </w:tr>
      <w:tr>
        <w:trPr/>
        <w:tc>
          <w:tcPr>
            <w:tcW w:w="5075"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(327,377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(12,687</w:t>
            </w:r>
          </w:p>
        </w:tc>
        <w:tc>
          <w:tcPr>
            <w:tcW w:w="110" w:type="dxa"/>
            <w:tcBorders/>
            <w:shd w:fill="FFFFFF" w:val="clear"/>
            <w:vAlign w:val="center"/>
          </w:tcPr>
          <w:p>
            <w:pPr>
              <w:pStyle w:val="TableContents"/>
              <w:bidi w:val="0"/>
              <w:spacing w:before="0" w:after="283"/>
              <w:ind w:left="0" w:right="0" w:hanging="180"/>
              <w:jc w:val="left"/>
              <w:rPr/>
            </w:pPr>
            <w:r>
              <w:rPr/>
              <w:t>)</w:t>
            </w:r>
            <w:bookmarkStart w:id="529" w:name="xdx_400_eus-gaap--NetIncomeLoss_i_pp0p"/>
            <w:bookmarkEnd w:id="529"/>
          </w:p>
        </w:tc>
      </w:tr>
      <w:tr>
        <w:trPr/>
        <w:tc>
          <w:tcPr>
            <w:tcW w:w="50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(46,622,106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(9,645,482</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530" w:name="xdx_233_zJiliE99L8yj"/>
      <w:bookmarkEnd w:id="530"/>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4370"/>
        <w:gridCol w:w="60"/>
        <w:gridCol w:w="140"/>
        <w:gridCol w:w="1055"/>
        <w:gridCol w:w="95"/>
        <w:gridCol w:w="60"/>
        <w:gridCol w:w="140"/>
        <w:gridCol w:w="1055"/>
        <w:gridCol w:w="110"/>
      </w:tblGrid>
      <w:tr>
        <w:trPr/>
        <w:tc>
          <w:tcPr>
            <w:tcW w:w="43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1" w:name="xdx_49C_20250701__20250930_z5hqkdkRz3bh"/>
            <w:bookmarkEnd w:id="531"/>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2" w:name="xdx_496_20240701__20240930_zGLDErInwVsj"/>
            <w:bookmarkEnd w:id="532"/>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Three Months Ended</w:t>
              <w:br/>
              <w:t>September 30,</w:t>
            </w:r>
          </w:p>
        </w:tc>
        <w:tc>
          <w:tcPr>
            <w:tcW w:w="110" w:type="dxa"/>
            <w:tcBorders/>
            <w:vAlign w:val="center"/>
          </w:tcPr>
          <w:p>
            <w:pPr>
              <w:pStyle w:val="TableContents"/>
              <w:bidi w:val="0"/>
              <w:spacing w:before="0" w:after="283"/>
              <w:ind w:left="0" w:right="0" w:hanging="180"/>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33" w:name="xdx_90F_eus-gaap--Revenues_c20250701__20"/>
            <w:bookmarkEnd w:id="533"/>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34" w:name="xdx_901_eus-gaap--Revenues_c20240701__20"/>
            <w:bookmarkEnd w:id="534"/>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Less: Significant and other segment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NEO100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35" w:name="xdx_906_eus-gaap--ResearchAndDevelopment"/>
            <w:bookmarkEnd w:id="535"/>
            <w:r>
              <w:rPr/>
              <w:t>163,036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36" w:name="xdx_904_eus-gaap--ResearchAndDevelopment"/>
            <w:bookmarkEnd w:id="536"/>
            <w:r>
              <w:rPr/>
              <w:t>236,607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NEO100-02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537" w:name="xdx_901_eus-gaap--ResearchAndDevelopment"/>
            <w:bookmarkEnd w:id="537"/>
            <w:r>
              <w:rPr/>
              <w:t>125,586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538" w:name="xdx_900_eus-gaap--ResearchAndDevelopment"/>
            <w:bookmarkEnd w:id="538"/>
            <w:r>
              <w:rPr/>
              <w:t>79,644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NEO212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39" w:name="xdx_909_eus-gaap--ResearchAndDevelopment"/>
            <w:bookmarkEnd w:id="539"/>
            <w:r>
              <w:rPr/>
              <w:t>343,368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40" w:name="xdx_90B_eus-gaap--ResearchAndDevelopment"/>
            <w:bookmarkEnd w:id="540"/>
            <w:r>
              <w:rPr/>
              <w:t>189,553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Pediatric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541" w:name="xdx_90B_eus-gaap--ResearchAndDevelopment"/>
            <w:bookmarkEnd w:id="541"/>
            <w:r>
              <w:rPr/>
              <w:t>70,653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542" w:name="xdx_902_eus-gaap--ResearchAndDevelopment"/>
            <w:bookmarkEnd w:id="542"/>
            <w:r>
              <w:rPr/>
              <w:t>34,350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Laboratory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43" w:name="xdx_909_eus-gaap--ResearchAndDevelopment"/>
            <w:bookmarkEnd w:id="543"/>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44" w:name="xdx_90B_eus-gaap--ResearchAndDevelopment"/>
            <w:bookmarkEnd w:id="544"/>
            <w:r>
              <w:rPr/>
              <w:t>362,858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45" w:name="xdx_90C_eus-gaap--ResearchAndDevelopment"/>
            <w:bookmarkEnd w:id="545"/>
            <w:r>
              <w:rPr/>
              <w:t>12,395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46" w:name="xdx_90E_eus-gaap--ResearchAndDevelopment"/>
            <w:bookmarkEnd w:id="546"/>
            <w:r>
              <w:rPr/>
              <w:t>53,713</w:t>
            </w:r>
          </w:p>
        </w:tc>
        <w:tc>
          <w:tcPr>
            <w:tcW w:w="110" w:type="dxa"/>
            <w:tcBorders/>
            <w:shd w:fill="CCEEFF" w:val="clear"/>
            <w:vAlign w:val="center"/>
          </w:tcPr>
          <w:p>
            <w:pPr>
              <w:pStyle w:val="TableContents"/>
              <w:bidi w:val="0"/>
              <w:spacing w:before="0" w:after="283"/>
              <w:ind w:left="0" w:right="0" w:hanging="180"/>
              <w:jc w:val="left"/>
              <w:rPr/>
            </w:pPr>
            <w:r>
              <w:rPr/>
              <w:t> </w:t>
            </w:r>
            <w:bookmarkStart w:id="547" w:name="xdx_40F_eus-gaap--ResearchAndDevelopment"/>
            <w:bookmarkEnd w:id="547"/>
          </w:p>
        </w:tc>
      </w:tr>
      <w:tr>
        <w:trPr/>
        <w:tc>
          <w:tcPr>
            <w:tcW w:w="4370" w:type="dxa"/>
            <w:tcBorders/>
            <w:shd w:fill="FFFFFF" w:val="clear"/>
            <w:vAlign w:val="center"/>
          </w:tcPr>
          <w:p>
            <w:pPr>
              <w:pStyle w:val="TableContents"/>
              <w:bidi w:val="0"/>
              <w:spacing w:before="0" w:after="283"/>
              <w:jc w:val="left"/>
              <w:rPr/>
            </w:pPr>
            <w:r>
              <w:rPr/>
              <w:t>Total research and development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715,038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956,725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548" w:name="xdx_402_ecustom--AdvisoryFees_zv6oPY2C0J"/>
            <w:bookmarkEnd w:id="548"/>
          </w:p>
        </w:tc>
      </w:tr>
      <w:tr>
        <w:trPr/>
        <w:tc>
          <w:tcPr>
            <w:tcW w:w="4370" w:type="dxa"/>
            <w:tcBorders/>
            <w:shd w:fill="FFFFFF" w:val="clear"/>
            <w:vAlign w:val="center"/>
          </w:tcPr>
          <w:p>
            <w:pPr>
              <w:pStyle w:val="TableContents"/>
              <w:bidi w:val="0"/>
              <w:spacing w:before="0" w:after="283"/>
              <w:jc w:val="left"/>
              <w:rPr/>
            </w:pPr>
            <w:r>
              <w:rPr/>
              <w:t>Advisory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500,000</w:t>
            </w:r>
          </w:p>
        </w:tc>
        <w:tc>
          <w:tcPr>
            <w:tcW w:w="110" w:type="dxa"/>
            <w:tcBorders/>
            <w:shd w:fill="FFFFFF" w:val="clear"/>
            <w:vAlign w:val="center"/>
          </w:tcPr>
          <w:p>
            <w:pPr>
              <w:pStyle w:val="TableContents"/>
              <w:bidi w:val="0"/>
              <w:spacing w:before="0" w:after="283"/>
              <w:ind w:left="0" w:right="0" w:hanging="180"/>
              <w:jc w:val="left"/>
              <w:rPr/>
            </w:pPr>
            <w:r>
              <w:rPr/>
              <w:t> </w:t>
            </w:r>
            <w:bookmarkStart w:id="549" w:name="xdx_40B_eus-gaap--LegalFees_zgk8qGjV4C82"/>
            <w:bookmarkEnd w:id="549"/>
          </w:p>
        </w:tc>
      </w:tr>
      <w:tr>
        <w:trPr/>
        <w:tc>
          <w:tcPr>
            <w:tcW w:w="4370" w:type="dxa"/>
            <w:tcBorders/>
            <w:shd w:fill="CCEEFF" w:val="clear"/>
            <w:vAlign w:val="center"/>
          </w:tcPr>
          <w:p>
            <w:pPr>
              <w:pStyle w:val="TableContents"/>
              <w:bidi w:val="0"/>
              <w:spacing w:before="0" w:after="283"/>
              <w:jc w:val="left"/>
              <w:rPr/>
            </w:pPr>
            <w:r>
              <w:rPr/>
              <w:t>Legal and accounting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276,378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219,531</w:t>
            </w:r>
          </w:p>
        </w:tc>
        <w:tc>
          <w:tcPr>
            <w:tcW w:w="110" w:type="dxa"/>
            <w:tcBorders/>
            <w:shd w:fill="CCEEFF" w:val="clear"/>
            <w:vAlign w:val="center"/>
          </w:tcPr>
          <w:p>
            <w:pPr>
              <w:pStyle w:val="TableContents"/>
              <w:bidi w:val="0"/>
              <w:spacing w:before="0" w:after="283"/>
              <w:ind w:left="0" w:right="0" w:hanging="180"/>
              <w:jc w:val="left"/>
              <w:rPr/>
            </w:pPr>
            <w:r>
              <w:rPr/>
              <w:t> </w:t>
            </w:r>
            <w:bookmarkStart w:id="550" w:name="xdx_409_eus-gaap--LaborAndRelatedExpense"/>
            <w:bookmarkEnd w:id="550"/>
          </w:p>
        </w:tc>
      </w:tr>
      <w:tr>
        <w:trPr/>
        <w:tc>
          <w:tcPr>
            <w:tcW w:w="4370" w:type="dxa"/>
            <w:tcBorders/>
            <w:shd w:fill="FFFFFF" w:val="clear"/>
            <w:vAlign w:val="center"/>
          </w:tcPr>
          <w:p>
            <w:pPr>
              <w:pStyle w:val="TableContents"/>
              <w:bidi w:val="0"/>
              <w:spacing w:before="0" w:after="283"/>
              <w:jc w:val="left"/>
              <w:rPr/>
            </w:pPr>
            <w:r>
              <w:rPr/>
              <w:t>Employee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182,268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186,149</w:t>
            </w:r>
          </w:p>
        </w:tc>
        <w:tc>
          <w:tcPr>
            <w:tcW w:w="110" w:type="dxa"/>
            <w:tcBorders/>
            <w:shd w:fill="FFFFFF" w:val="clear"/>
            <w:vAlign w:val="center"/>
          </w:tcPr>
          <w:p>
            <w:pPr>
              <w:pStyle w:val="TableContents"/>
              <w:bidi w:val="0"/>
              <w:spacing w:before="0" w:after="283"/>
              <w:ind w:left="0" w:right="0" w:hanging="180"/>
              <w:jc w:val="left"/>
              <w:rPr/>
            </w:pPr>
            <w:r>
              <w:rPr/>
              <w:t> </w:t>
            </w:r>
            <w:bookmarkStart w:id="551" w:name="xdx_402_eus-gaap--AdjustmentForAmortizat"/>
            <w:bookmarkEnd w:id="551"/>
          </w:p>
        </w:tc>
      </w:tr>
      <w:tr>
        <w:trPr/>
        <w:tc>
          <w:tcPr>
            <w:tcW w:w="4370"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438,111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67,076</w:t>
            </w:r>
          </w:p>
        </w:tc>
        <w:tc>
          <w:tcPr>
            <w:tcW w:w="110" w:type="dxa"/>
            <w:tcBorders/>
            <w:shd w:fill="CCEEFF" w:val="clear"/>
            <w:vAlign w:val="center"/>
          </w:tcPr>
          <w:p>
            <w:pPr>
              <w:pStyle w:val="TableContents"/>
              <w:bidi w:val="0"/>
              <w:spacing w:before="0" w:after="283"/>
              <w:ind w:left="0" w:right="0" w:hanging="180"/>
              <w:jc w:val="left"/>
              <w:rPr/>
            </w:pPr>
            <w:r>
              <w:rPr/>
              <w:t> </w:t>
            </w:r>
            <w:bookmarkStart w:id="552" w:name="xdx_403_ecustom--InvestorRelations_zmCcw"/>
            <w:bookmarkEnd w:id="552"/>
          </w:p>
        </w:tc>
      </w:tr>
      <w:tr>
        <w:trPr/>
        <w:tc>
          <w:tcPr>
            <w:tcW w:w="4370" w:type="dxa"/>
            <w:tcBorders/>
            <w:shd w:fill="FFFFFF" w:val="clear"/>
            <w:vAlign w:val="center"/>
          </w:tcPr>
          <w:p>
            <w:pPr>
              <w:pStyle w:val="TableContents"/>
              <w:bidi w:val="0"/>
              <w:spacing w:before="0" w:after="283"/>
              <w:jc w:val="left"/>
              <w:rPr/>
            </w:pPr>
            <w:r>
              <w:rPr/>
              <w:t>Investor relations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188,358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11,960</w:t>
            </w:r>
          </w:p>
        </w:tc>
        <w:tc>
          <w:tcPr>
            <w:tcW w:w="110" w:type="dxa"/>
            <w:tcBorders/>
            <w:shd w:fill="FFFFFF" w:val="clear"/>
            <w:vAlign w:val="center"/>
          </w:tcPr>
          <w:p>
            <w:pPr>
              <w:pStyle w:val="TableContents"/>
              <w:bidi w:val="0"/>
              <w:spacing w:before="0" w:after="283"/>
              <w:ind w:left="0" w:right="0" w:hanging="180"/>
              <w:jc w:val="left"/>
              <w:rPr/>
            </w:pPr>
            <w:r>
              <w:rPr/>
              <w:t> </w:t>
            </w:r>
            <w:bookmarkStart w:id="553" w:name="xdx_402_eus-gaap--ShareBasedCompensation"/>
            <w:bookmarkEnd w:id="553"/>
          </w:p>
        </w:tc>
      </w:tr>
      <w:tr>
        <w:trPr/>
        <w:tc>
          <w:tcPr>
            <w:tcW w:w="4370"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5,040,246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554" w:name="xdx_40D_eus-gaap--OtherGeneralAndAdminis"/>
            <w:bookmarkEnd w:id="554"/>
          </w:p>
        </w:tc>
      </w:tr>
      <w:tr>
        <w:trPr/>
        <w:tc>
          <w:tcPr>
            <w:tcW w:w="4370" w:type="dxa"/>
            <w:tcBorders/>
            <w:shd w:fill="FFFFFF" w:val="clear"/>
            <w:vAlign w:val="center"/>
          </w:tcPr>
          <w:p>
            <w:pPr>
              <w:pStyle w:val="TableContents"/>
              <w:bidi w:val="0"/>
              <w:spacing w:before="0" w:after="283"/>
              <w:jc w:val="left"/>
              <w:rPr/>
            </w:pPr>
            <w:r>
              <w:rPr/>
              <w:t>Other 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532,359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253,348</w:t>
            </w:r>
          </w:p>
        </w:tc>
        <w:tc>
          <w:tcPr>
            <w:tcW w:w="110" w:type="dxa"/>
            <w:tcBorders/>
            <w:shd w:fill="FFFFFF" w:val="clear"/>
            <w:vAlign w:val="center"/>
          </w:tcPr>
          <w:p>
            <w:pPr>
              <w:pStyle w:val="TableContents"/>
              <w:bidi w:val="0"/>
              <w:spacing w:before="0" w:after="283"/>
              <w:ind w:left="0" w:right="0" w:hanging="180"/>
              <w:jc w:val="left"/>
              <w:rPr/>
            </w:pPr>
            <w:r>
              <w:rPr/>
              <w:t> </w:t>
            </w:r>
            <w:bookmarkStart w:id="555" w:name="xdx_401_ecustom--InterestExpenseRelatedP"/>
            <w:bookmarkEnd w:id="555"/>
          </w:p>
        </w:tc>
      </w:tr>
      <w:tr>
        <w:trPr/>
        <w:tc>
          <w:tcPr>
            <w:tcW w:w="4370" w:type="dxa"/>
            <w:tcBorders/>
            <w:shd w:fill="CCEEFF" w:val="clear"/>
            <w:vAlign w:val="center"/>
          </w:tcPr>
          <w:p>
            <w:pPr>
              <w:pStyle w:val="TableContents"/>
              <w:bidi w:val="0"/>
              <w:spacing w:before="0" w:after="283"/>
              <w:jc w:val="left"/>
              <w:rPr/>
            </w:pPr>
            <w:r>
              <w:rPr/>
              <w:t>Interest expense - related parties’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869,815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2,400</w:t>
            </w:r>
          </w:p>
        </w:tc>
        <w:tc>
          <w:tcPr>
            <w:tcW w:w="110" w:type="dxa"/>
            <w:tcBorders/>
            <w:shd w:fill="CCEEFF" w:val="clear"/>
            <w:vAlign w:val="center"/>
          </w:tcPr>
          <w:p>
            <w:pPr>
              <w:pStyle w:val="TableContents"/>
              <w:bidi w:val="0"/>
              <w:spacing w:before="0" w:after="283"/>
              <w:ind w:left="0" w:right="0" w:hanging="180"/>
              <w:jc w:val="left"/>
              <w:rPr/>
            </w:pPr>
            <w:r>
              <w:rPr/>
              <w:t> </w:t>
            </w:r>
            <w:bookmarkStart w:id="556" w:name="xdx_40C_eus-gaap--GainsLossesOnExtinguis"/>
            <w:bookmarkEnd w:id="556"/>
          </w:p>
        </w:tc>
      </w:tr>
      <w:tr>
        <w:trPr/>
        <w:tc>
          <w:tcPr>
            <w:tcW w:w="4370" w:type="dxa"/>
            <w:tcBorders/>
            <w:shd w:fill="FFFFFF" w:val="clear"/>
            <w:vAlign w:val="center"/>
          </w:tcPr>
          <w:p>
            <w:pPr>
              <w:pStyle w:val="TableContents"/>
              <w:bidi w:val="0"/>
              <w:spacing w:before="0" w:after="283"/>
              <w:jc w:val="left"/>
              <w:rPr/>
            </w:pPr>
            <w:r>
              <w:rPr/>
              <w:t>Loss on extinguishment of bridge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557" w:name="xdx_407_eus-gaap--LitigationSettlementLo"/>
            <w:bookmarkEnd w:id="557"/>
          </w:p>
        </w:tc>
      </w:tr>
      <w:tr>
        <w:trPr/>
        <w:tc>
          <w:tcPr>
            <w:tcW w:w="4370" w:type="dxa"/>
            <w:tcBorders/>
            <w:shd w:fill="CCEEFF" w:val="clear"/>
            <w:vAlign w:val="center"/>
          </w:tcPr>
          <w:p>
            <w:pPr>
              <w:pStyle w:val="TableContents"/>
              <w:bidi w:val="0"/>
              <w:spacing w:before="0" w:after="283"/>
              <w:jc w:val="left"/>
              <w:rPr/>
            </w:pPr>
            <w:r>
              <w:rPr/>
              <w:t>Loss on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380,162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558" w:name="xdx_407_eus-gaap--OtherIncome_zNu4XA0IgA"/>
            <w:bookmarkEnd w:id="558"/>
          </w:p>
        </w:tc>
      </w:tr>
      <w:tr>
        <w:trPr/>
        <w:tc>
          <w:tcPr>
            <w:tcW w:w="4370"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(12,687</w:t>
            </w:r>
          </w:p>
        </w:tc>
        <w:tc>
          <w:tcPr>
            <w:tcW w:w="110" w:type="dxa"/>
            <w:tcBorders/>
            <w:shd w:fill="FFFFFF" w:val="clear"/>
            <w:vAlign w:val="center"/>
          </w:tcPr>
          <w:p>
            <w:pPr>
              <w:pStyle w:val="TableContents"/>
              <w:bidi w:val="0"/>
              <w:spacing w:before="0" w:after="283"/>
              <w:ind w:left="0" w:right="0" w:hanging="180"/>
              <w:jc w:val="left"/>
              <w:rPr/>
            </w:pPr>
            <w:r>
              <w:rPr/>
              <w:t>)</w:t>
            </w:r>
            <w:bookmarkStart w:id="559" w:name="xdx_404_eus-gaap--NetIncomeLoss_zBTC05rR"/>
            <w:bookmarkEnd w:id="559"/>
          </w:p>
        </w:tc>
      </w:tr>
      <w:tr>
        <w:trPr/>
        <w:tc>
          <w:tcPr>
            <w:tcW w:w="43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(8,615,920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(2,184,500</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560" w:name="xdx_8A4_zDe7PUS9AVp"/>
      <w:bookmarkEnd w:id="560"/>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61" w:name="xdx_804_eus-gaap--SubsequentEventsTextBl"/>
      <w:bookmarkEnd w:id="561"/>
      <w:r>
        <w:rPr>
          <w:rFonts w:ascii="Times New Roman;Times;Serif" w:hAnsi="Times New Roman;Times;Serif"/>
          <w:b/>
          <w:i w:val="false"/>
          <w:smallCaps/>
          <w:sz w:val="20"/>
        </w:rPr>
        <w:t xml:space="preserve">Note </w:t>
      </w:r>
      <w:r>
        <w:rPr>
          <w:rFonts w:ascii="Times New Roman;Times;Serif" w:hAnsi="Times New Roman;Times;Serif"/>
          <w:b/>
          <w:i w:val="false"/>
          <w:caps w:val="false"/>
          <w:smallCaps w:val="false"/>
          <w:sz w:val="20"/>
        </w:rPr>
        <w:t xml:space="preserve">11 – </w:t>
      </w:r>
      <w:bookmarkStart w:id="562" w:name="xdx_824_z9J7TQEZiXf5"/>
      <w:bookmarkEnd w:id="562"/>
      <w:r>
        <w:rPr>
          <w:rFonts w:ascii="Times New Roman;Times;Serif" w:hAnsi="Times New Roman;Times;Serif"/>
          <w:b/>
          <w:i w:val="false"/>
          <w:smallCaps/>
          <w:sz w:val="20"/>
        </w:rPr>
        <w:t>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the Company entered into an agreement with Dr. Ishwar K. Puri and Beth R. Levinson for the acquisition of all equity interests in JandB Holdings LLC, a California limited liability company (“J&amp;B”). J&amp;B was newly formed and held a single patented asset. No other assets, liabilities, employees or facilities were acquired. The single asset passed the “screen test” to be considered an asset acquisition. Expenses of the transaction were not significant.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asset acquisition, the transaction consideration includes:</w:t>
      </w:r>
    </w:p>
    <w:p>
      <w:pPr>
        <w:pStyle w:val="TextBody"/>
        <w:bidi w:val="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200"/>
        <w:gridCol w:w="264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payment of $500,000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Company common stock equal to (a) 120,000 shares of Company common stock with an attributed value of $25 per share,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(b) an amount of shares equal to (x) the aggregate transaction fees incurred by the Company in connection with all of the transactions related to the Agreement divided by (y) $25.00, rounded up to the nearest whole share.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remitted the cash payment for the patent on October 3, 2025 and received assignment of the patent effective October 8, 2025. As of November 13, 2025, the shares have yet to be issued.</w:t>
      </w:r>
    </w:p>
    <w:p>
      <w:pPr>
        <w:pStyle w:val="TextBody"/>
        <w:bidi w:val="0"/>
        <w:jc w:val="left"/>
        <w:rPr>
          <w:caps w:val="false"/>
          <w:smallCaps w:val="false"/>
        </w:rPr>
      </w:pPr>
      <w:bookmarkStart w:id="563" w:name="xdx_23D_zUepVG69aVBl"/>
      <w:bookmarkEnd w:id="563"/>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4, 2025, the Company’s wholly owned subsidiary, NuroMENA, signed a Master Services Agreement (MSA) with Insights Research Organization &amp; Solutions (IROS), a UAE- based contract research organization (CRO) and part of the M42 group. The MSA has an initial term of three years from the first work order executed under the agreement. The first work order to be executed under the MSA covers a multi-site, randomized Phase 2b/3 study titled </w:t>
      </w:r>
      <w:r>
        <w:rPr>
          <w:rFonts w:ascii="Times New Roman;Times;Serif" w:hAnsi="Times New Roman;Times;Serif"/>
          <w:b w:val="false"/>
          <w:i/>
          <w:caps w:val="false"/>
          <w:smallCaps w:val="false"/>
          <w:sz w:val="20"/>
        </w:rPr>
        <w:t>A Multi-Site, Randomized, Phase 2b/3 Study Evaluating Overall Survival of Intranasal NEO100 in Patients with Progressive or Recurrent Grade III Astrocytomas and Glioblastoma Multiforme (GBM), Stratified by IDH1 Mutation Status, Compared to Best Standard of Care.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4, 2025, the Company sold </w:t>
      </w:r>
      <w:bookmarkStart w:id="564" w:name="xdx_90F_eus-gaap--SaleOfStockNumberOfSha"/>
      <w:bookmarkEnd w:id="564"/>
      <w:r>
        <w:rPr>
          <w:rFonts w:ascii="Times New Roman;Times;Serif" w:hAnsi="Times New Roman;Times;Serif"/>
          <w:b w:val="false"/>
          <w:i w:val="false"/>
          <w:caps w:val="false"/>
          <w:smallCaps w:val="false"/>
          <w:sz w:val="20"/>
        </w:rPr>
        <w:t>76,665 shares of common stock at $</w:t>
      </w:r>
      <w:bookmarkStart w:id="565" w:name="xdx_904_eus-gaap--SharePrice_c20251104__"/>
      <w:bookmarkEnd w:id="565"/>
      <w:r>
        <w:rPr>
          <w:rFonts w:ascii="Times New Roman;Times;Serif" w:hAnsi="Times New Roman;Times;Serif"/>
          <w:b w:val="false"/>
          <w:i w:val="false"/>
          <w:caps w:val="false"/>
          <w:smallCaps w:val="false"/>
          <w:sz w:val="20"/>
        </w:rPr>
        <w:t>9.78 per share for gross proceeds of approximately $</w:t>
      </w:r>
      <w:bookmarkStart w:id="566" w:name="xdx_90E_eus-gaap--SaleOfStockConsiderati"/>
      <w:bookmarkEnd w:id="566"/>
      <w:r>
        <w:rPr>
          <w:rFonts w:ascii="Times New Roman;Times;Serif" w:hAnsi="Times New Roman;Times;Serif"/>
          <w:b w:val="false"/>
          <w:i w:val="false"/>
          <w:caps w:val="false"/>
          <w:smallCaps w:val="false"/>
          <w:sz w:val="20"/>
        </w:rPr>
        <w:t>750,000 pursuant to Equity Purchase Agreement with Mast Hill Fund, LP.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6, 2025, the Company granted </w:t>
      </w:r>
      <w:bookmarkStart w:id="567" w:name="xdx_901_eus-gaap--ShareBasedCompensation"/>
      <w:bookmarkEnd w:id="567"/>
      <w:r>
        <w:rPr>
          <w:rFonts w:ascii="Times New Roman;Times;Serif" w:hAnsi="Times New Roman;Times;Serif"/>
          <w:b w:val="false"/>
          <w:i w:val="false"/>
          <w:caps w:val="false"/>
          <w:smallCaps w:val="false"/>
          <w:sz w:val="20"/>
        </w:rPr>
        <w:t xml:space="preserve">1,200,000 RSUs to Amir Heshmatpour and </w:t>
      </w:r>
      <w:bookmarkStart w:id="568" w:name="xdx_908_eus-gaap--ShareBasedCompensation"/>
      <w:bookmarkEnd w:id="568"/>
      <w:r>
        <w:rPr>
          <w:rFonts w:ascii="Times New Roman;Times;Serif" w:hAnsi="Times New Roman;Times;Serif"/>
          <w:b w:val="false"/>
          <w:i w:val="false"/>
          <w:caps w:val="false"/>
          <w:smallCaps w:val="false"/>
          <w:sz w:val="20"/>
        </w:rPr>
        <w:t>70,000 RSUs to Grace Fisher.</w:t>
      </w:r>
    </w:p>
    <w:p>
      <w:pPr>
        <w:pStyle w:val="TextBody"/>
        <w:bidi w:val="0"/>
        <w:jc w:val="both"/>
        <w:rPr>
          <w:caps w:val="false"/>
          <w:smallCaps w:val="false"/>
        </w:rPr>
      </w:pPr>
      <w:bookmarkStart w:id="569" w:name="xdx_81A_z7fywtw4hIkl"/>
      <w:bookmarkEnd w:id="56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70" w:name="a_008"/>
      <w:bookmarkEnd w:id="57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Capitalized terms used herein, but not otherwise defined, shall have the meaning ascribed to those terms in the “Part I - Financial Information,” including the related notes to the consolidated financial statements contained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(f/k/a NAS-ONC, Inc.) was formed in 2008, devoted to developing new drugs with new delivery modes. As a clinical-stage biopharmaceutical company, we have focused on establishing superior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NeOnc’s lead product candidate is NEO100. NEO100 is administered to patients via intranasal delivery. We have completed human safety testing in a Phase 1 clinical trial and are currently conducting preliminary efficacy testing in a Phase 2a trial with recurrent malignant glioma (Grade IV IDH1 mutant and Grade III Astrocytoma IDH1 mutant) patients. NeOnc is also developing a second product candidate, NEO212, which has completed preclinical testing, and an investigational new drug (IND) application has been filed and accepted with the United States Food and Drug Administration (FDA). The company has started Phase 1 clinical trials with patients harbouring primary and secondary malignant brain cancer types. Several additional drug candidates are in the pipeline and are undergoing preclinical development.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 other than for humanitarian usage.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2024, the Company entered into an agreement with a broker dealer to serve as placement agent and provide broker services in connection with the proposed sale of common stock up to $10,000,000. Under this agreement, through December 31, 2024, the Company closed on commitments from investors to purchase 625,000 shares of common stock of the Company at $16 per share for total commitments of $10,000,000, which were to be held in escrow until the Company’s registration statement was declared effective. During the three months ended March 31, 2025, prior to the Company having an effective registration statement, the Company closed on an additional commitment to purchase 102,750 shares of common stock of the Company at $16.00 per share, for total commitments of $1,644,000. On March 10, 2025, the Company’s registration statement was declared effective at which time the $11,644,000 in escrow was released to the Company. On March 26, the Company was listed (“Listing”) on the NASDAQ global markets.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and Joint Venture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(through its recently formed subsidiary – Nuromena Holdings Ltd. “NuroMena”) entered into a letter of intent to form an investment and joint venture agreement with a Middle-East investor (“Investor”), Quazar Investments. At the formation date, the Company would own 10 million shares of NuroMena and contribute a license to its technology to NuroMena, and the Investor will purchase 2.5 million shares of NuroMena for a subscription price of $400,000 (“Initial Investment”). Following the formation of the entity and closing of the Initial Investment, the Investor shall source one or more future investors to purchase up to $50.0 million at $25/share in common stock of the Company, of which 70% of the proceeds will be maintained by the Company and 30% will be transferred to an operating entity to be formed under NuroMena, to conduct clinical trials in the middle-east markets. As of the date of this filing, the Initial Investment has not yet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we have incurred significant operating losses. Our net loss was $8,615,920 and $2,184,500, for the three months ended September 30, 2025 and 2024, respectively, and $46,622,106 and $9,645,482 for the nine months ended September 30, 2025 and 2024, respectively. We had an accumulated deficit of $97,230,551 at September 30, 2025.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generate revenue from product sales unless and until we successfully complete clinical development and obtain regulatory approval for our product candidates. In addition, if we obtain regulatory approval for our product candidates and do not enter a third-party commercialization partnership, we expect to incur significant expenses related to developing our commercialization capability to support product sales, marketing, manufacturing, and distribution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our independent registered public accounting firm on our financial statements as of and for the year ended December 31, 2024 included an explanatory paragraph indicating that there was substantial doubt about our ability to continue as a going concern. See Note 1 to our financial statements for additional information on our assessment.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occasionally receive a fee from a patient for a “right to try” humanitarian program. Such revenues are not part of our core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(i) research and development expenses and (ii) legal and professional expenses and (iii) general and administrative expenses.</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for our research and development activities, including our product candidate discovery efforts and preclinical and clinical studies under our research programs, which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 for our research and development personnel;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of funding research performed by third parties that conduct research and development and preclinical and clinical activities on our behalf;</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70"/>
        <w:gridCol w:w="852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manufacturing drug products and drug supply related to our current or future product candidates;</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conducting preclinical studies and clinical trials of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professional fees related to research and development activities, including equity-based compensation to non-employees;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maintaining our laboratory, including purchasing laboratory supplies and non-capital equipment used in our preclinical studies;</w:t>
            </w:r>
          </w:p>
        </w:tc>
      </w:tr>
    </w:tbl>
    <w:p>
      <w:pPr>
        <w:pStyle w:val="TextBody"/>
        <w:bidi w:val="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clinical regulatory requirements;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costs and other allocated expenses, which include expenses for rent and maintenance of facilities, insurance, depreciation and other supplies.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expenses of our ongoing research activities as well as any preclinical studies and clinical trials and other research and development activities;</w:t>
            </w:r>
          </w:p>
        </w:tc>
      </w:tr>
    </w:tbl>
    <w:p>
      <w:pPr>
        <w:pStyle w:val="TextBody"/>
        <w:bidi w:val="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w:t>
            </w:r>
          </w:p>
        </w:tc>
      </w:tr>
    </w:tbl>
    <w:p>
      <w:pPr>
        <w:pStyle w:val="TextBody"/>
        <w:bidi w:val="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in and completion of clinical trials;</w:t>
            </w:r>
          </w:p>
        </w:tc>
      </w:tr>
    </w:tbl>
    <w:p>
      <w:pPr>
        <w:pStyle w:val="TextBody"/>
        <w:bidi w:val="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170"/>
        <w:gridCol w:w="629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our product candidates show safety and efficacy in our clinical trials;</w:t>
            </w:r>
          </w:p>
        </w:tc>
      </w:tr>
    </w:tbl>
    <w:p>
      <w:pPr>
        <w:pStyle w:val="TextBody"/>
        <w:bidi w:val="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capabilities or making arrangements with third-party manufacturers;</w:t>
            </w:r>
          </w:p>
        </w:tc>
      </w:tr>
    </w:tbl>
    <w:p>
      <w:pPr>
        <w:pStyle w:val="TextBody"/>
        <w:bidi w:val="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60"/>
        <w:gridCol w:w="170"/>
        <w:gridCol w:w="936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our product candidates;</w:t>
            </w:r>
          </w:p>
        </w:tc>
      </w:tr>
    </w:tbl>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commercializing product candidates, if and when approved, whether alone or in collaboration with others; and</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0"/>
        <w:gridCol w:w="170"/>
        <w:gridCol w:w="642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of the products following any regulatory approval.</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our current and future product candidates would significantly change the costs and timing associated with the development of those product candidates.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expenses consist of costs related to corporate and intellectual property legal costs and accounting and auditing fees. We also anticipate increased expenses associated with being a public company, including costs for audit, legal, regulatory and tax-related services related to compliance with the rules and regulations of the Securities and Exchange Commission, or the SEC, and listing standards applicable to companies listed on a national securities exchange, director and officer insurance premiums, and investor relations costs.</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salaries and other compensation-related costs, including stock-based compensation, for personnel in executive, finance and accounting, business development, operations and administrative roles. Other significant costs include insurance costs, travel costs, facility and office-related costs not included in research and development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our business expands to support expected growth in research and development activities, including our future clinical programs. These increases will likely include increased costs related to the hiring of additional personnel and fees to outside service providers, among other expenses. In addition, if we obtain regulatory approval for any of our product candidates and do not enter a third-party commercialization collaboration, we expect to incur significant expenses related to building a sales and marketing team to support product sales, marketing and distribution activities.</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compensation expense result from the recognition of the fair value of restricted stock units (RSU) recorded on a straight-line basis from the date of grant to the date the RSU becomes fully vested.</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results from the bridge loan and a short-term loan both from related parties. Borrowings under these loans carry a 50% (or 1 times amounts borrowed) original issue discount (“OID”) on principal. The OID to be earned under the bridge loan is recognized ratably over the term of each draw-down under the loan through the maturity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on debt issuance costs resulted from the grant of warrants for a line of credit commitment. The fair value of the warrants was determined using the Black Scholes valuation method and the fair value is being amortized over the term of the line of credit commitment.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on deferred offering costs resulted from the issuance of common stock in connection with a private equity agreement.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Loss on Change in Fair Value of Derivative Liability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derivative liability relates to the fair value of the discount offered to stockholders who purchased shares under the equity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and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presented: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w:t>
              <w:br/>
              <w:t>Three Months Ended</w:t>
              <w:br/>
              <w:t>September 30,</w:t>
            </w:r>
          </w:p>
        </w:tc>
        <w:tc>
          <w:tcPr>
            <w:tcW w:w="110" w:type="dxa"/>
            <w:tcBorders/>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180"/>
              <w:jc w:val="center"/>
              <w:rPr/>
            </w:pPr>
            <w:r>
              <w:rPr/>
              <w:t> </w:t>
            </w:r>
          </w:p>
        </w:tc>
      </w:tr>
      <w:tr>
        <w:trPr/>
        <w:tc>
          <w:tcPr>
            <w:tcW w:w="614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715,038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956,725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(241,687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Legal and professional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276,378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496,803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(220,425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902,985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243,659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659,326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5,040,246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5,040,246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Advisory Fee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(500,000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6,934,647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2,197,187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4,737,460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(6,934,647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(2,197,187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(4,737,460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(5,872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(438,111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(438,111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Interest expense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(869,815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(869,815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Loss on change in fair value of derivative liability related to sales of common stock through equity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(380,162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(380,162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(8,615,920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(2,184,500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(6,431,420</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was generated for fees for a “right to try” humanitarian program during the three months ended September 30,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components of our research and development expenses for the periods presented:</w:t>
      </w:r>
    </w:p>
    <w:p>
      <w:pPr>
        <w:pStyle w:val="TextBody"/>
        <w:bidi w:val="0"/>
        <w:jc w:val="left"/>
        <w:rPr>
          <w:caps w:val="false"/>
          <w:smallCaps w:val="false"/>
        </w:rPr>
      </w:pPr>
      <w:r>
        <w:rPr>
          <w:caps w:val="false"/>
          <w:smallCaps w:val="false"/>
        </w:rPr>
        <w:t> </w:t>
      </w:r>
    </w:p>
    <w:tbl>
      <w:tblPr>
        <w:tblW w:w="6833" w:type="dxa"/>
        <w:jc w:val="left"/>
        <w:tblInd w:w="0" w:type="dxa"/>
        <w:tblLayout w:type="fixed"/>
        <w:tblCellMar>
          <w:top w:w="0" w:type="dxa"/>
          <w:left w:w="0" w:type="dxa"/>
          <w:bottom w:w="0" w:type="dxa"/>
          <w:right w:w="0" w:type="dxa"/>
        </w:tblCellMar>
      </w:tblPr>
      <w:tblGrid>
        <w:gridCol w:w="4490"/>
        <w:gridCol w:w="60"/>
        <w:gridCol w:w="154"/>
        <w:gridCol w:w="884"/>
        <w:gridCol w:w="66"/>
        <w:gridCol w:w="66"/>
        <w:gridCol w:w="154"/>
        <w:gridCol w:w="884"/>
        <w:gridCol w:w="75"/>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Three Months Ended</w:t>
              <w:br/>
              <w:t>September 30,</w:t>
            </w:r>
          </w:p>
        </w:tc>
        <w:tc>
          <w:tcPr>
            <w:tcW w:w="75"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center"/>
              <w:rPr/>
            </w:pPr>
            <w:r>
              <w:rPr/>
              <w:t> </w:t>
            </w:r>
          </w:p>
        </w:tc>
      </w:tr>
      <w:tr>
        <w:trPr/>
        <w:tc>
          <w:tcPr>
            <w:tcW w:w="4490" w:type="dxa"/>
            <w:tcBorders/>
            <w:shd w:fill="CCEEFF" w:val="clear"/>
            <w:vAlign w:val="center"/>
          </w:tcPr>
          <w:p>
            <w:pPr>
              <w:pStyle w:val="TableContents"/>
              <w:bidi w:val="0"/>
              <w:spacing w:before="0" w:after="283"/>
              <w:jc w:val="left"/>
              <w:rPr>
                <w:b/>
              </w:rPr>
            </w:pPr>
            <w:r>
              <w:rPr>
                <w:b/>
              </w:rPr>
              <w:t>Research and development costs by project: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NEO100-01</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163,036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236,607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NEO100-02</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125,586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79,644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NEO212</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343,368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189,553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Pediatric</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70,653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34,350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Laboratory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362,858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12,395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53,713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pPr>
            <w:r>
              <w:rPr/>
              <w:t>715,038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pPr>
            <w:r>
              <w:rPr/>
              <w:t>956,725</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3875"/>
        <w:gridCol w:w="60"/>
        <w:gridCol w:w="140"/>
        <w:gridCol w:w="800"/>
        <w:gridCol w:w="60"/>
        <w:gridCol w:w="60"/>
        <w:gridCol w:w="140"/>
        <w:gridCol w:w="800"/>
        <w:gridCol w:w="60"/>
        <w:gridCol w:w="60"/>
        <w:gridCol w:w="140"/>
        <w:gridCol w:w="875"/>
        <w:gridCol w:w="110"/>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3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w:t>
              <w:br/>
              <w:t>Three Months Ended</w:t>
              <w:br/>
              <w:t>September 30,</w:t>
            </w:r>
          </w:p>
        </w:tc>
        <w:tc>
          <w:tcPr>
            <w:tcW w:w="110"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180"/>
              <w:jc w:val="center"/>
              <w:rPr/>
            </w:pPr>
            <w:r>
              <w:rPr/>
              <w:t> </w:t>
            </w:r>
          </w:p>
        </w:tc>
      </w:tr>
      <w:tr>
        <w:trPr/>
        <w:tc>
          <w:tcPr>
            <w:tcW w:w="3875" w:type="dxa"/>
            <w:tcBorders/>
            <w:shd w:fill="CCEEFF" w:val="clear"/>
            <w:vAlign w:val="center"/>
          </w:tcPr>
          <w:p>
            <w:pPr>
              <w:pStyle w:val="TableContents"/>
              <w:bidi w:val="0"/>
              <w:spacing w:before="0" w:after="283"/>
              <w:jc w:val="left"/>
              <w:rPr/>
            </w:pPr>
            <w:r>
              <w:rPr/>
              <w:t>Clinical trial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702,643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540,154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162,489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Research and laboratory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416,571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(404,175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Total research and development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715,038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956,725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(241,686</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$715,038 and $956,725 for the three months ended September 30, 2025 and 2024, respectively. A portion of these expenses amounting to approximately $12,395 and $416,571 for the three months ended September 30, 2025 and 2024, respectively are from the University of Southern California (USC), where Dr. Chen is a member of the faculty. The total decrease of $241,686 was primarily due to:</w:t>
      </w:r>
    </w:p>
    <w:p>
      <w:pPr>
        <w:pStyle w:val="TextBody"/>
        <w:bidi w:val="0"/>
        <w:spacing w:before="0" w:after="0"/>
        <w:ind w:left="0" w:right="0" w:firstLine="72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60"/>
        <w:gridCol w:w="170"/>
        <w:gridCol w:w="774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laboratory work in 2024 was completed, such that there were no such costs in 2025.</w:t>
            </w:r>
          </w:p>
        </w:tc>
      </w:tr>
    </w:tbl>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for NEO212.</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expenses were $276,378 and $496,803 for the three months ended September 30, 2025 and 2024, respectively. The decrease of $220,425 was primarily due to the completion of the direct listing process which occurred in the first quarter of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$902,985 and $243,659 for the three months ended September 30, 2025 and 2024, respectively. The increase of $659,326 was primary due to a marketing campaign, increased employee headcount and resultant compensation and benefits, rent and travel expenses and expense incurred in pursuit of the Middle East deal.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compensation resulted from the granting of RSUs and is the recognition of the expense from the grant date (which included a catch up period from the original date of issuance of the RSU’s through the Listing Date, due to the removal of the contingency which occurred on the Listing Date) during the three months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$869,815 and $0 for the three months ended September 30, 2025 and 2024, respectively. The interest for the three months ended September 30, 2025 relates primarily to the accrued interest for a litigation matter and the accretion of the convertible note payable of $820,794.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and other Income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$6,815 and $12,687 for the three months ended September 30, 2025 and 2024, respectively. The interest income for the three months ended September 30, 2025 and 2024, relates primarily interest earned on the money market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Loss on Change in Fair Value of Derivative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derivative liability was $380,162 and $0 for the three months ended September 30, 2025 and 2024, respectively. The loss on settlement is related to the discount offered investors who purchased shares of common stock under the equity line of credit, which commenced in July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 of Debt Issuance and Deferred Offering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debt issuance costs was approximately $438,111 and $0 for the three months ended September 30, 2025 and 2024, respectively. This represents the amortization of the debt issuance costs associated with the warrants issued for the HCWG line of credit, offering costs relating to the Mast Hill agreement and debt issuance cost associated with the convertible promissory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presented:</w:t>
      </w:r>
    </w:p>
    <w:p>
      <w:pPr>
        <w:pStyle w:val="TextBody"/>
        <w:bidi w:val="0"/>
        <w:jc w:val="left"/>
        <w:rPr>
          <w:caps w:val="false"/>
          <w:smallCaps w:val="false"/>
        </w:rPr>
      </w:pPr>
      <w:r>
        <w:rPr>
          <w:caps w:val="false"/>
          <w:smallCaps w:val="false"/>
        </w:rPr>
        <w:t> </w:t>
      </w:r>
    </w:p>
    <w:tbl>
      <w:tblPr>
        <w:tblW w:w="9380" w:type="dxa"/>
        <w:jc w:val="left"/>
        <w:tblInd w:w="0" w:type="dxa"/>
        <w:tblLayout w:type="fixed"/>
        <w:tblCellMar>
          <w:top w:w="0" w:type="dxa"/>
          <w:left w:w="0" w:type="dxa"/>
          <w:bottom w:w="0" w:type="dxa"/>
          <w:right w:w="0" w:type="dxa"/>
        </w:tblCellMar>
      </w:tblPr>
      <w:tblGrid>
        <w:gridCol w:w="5075"/>
        <w:gridCol w:w="60"/>
        <w:gridCol w:w="140"/>
        <w:gridCol w:w="1175"/>
        <w:gridCol w:w="95"/>
        <w:gridCol w:w="60"/>
        <w:gridCol w:w="140"/>
        <w:gridCol w:w="1055"/>
        <w:gridCol w:w="95"/>
        <w:gridCol w:w="60"/>
        <w:gridCol w:w="140"/>
        <w:gridCol w:w="1175"/>
        <w:gridCol w:w="110"/>
      </w:tblGrid>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35" w:type="dxa"/>
            <w:gridSpan w:val="10"/>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b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center"/>
              <w:rPr/>
            </w:pPr>
            <w:r>
              <w:rPr/>
              <w:t> </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180"/>
              <w:jc w:val="center"/>
              <w:rPr/>
            </w:pPr>
            <w:r>
              <w:rPr/>
              <w:t> </w:t>
            </w:r>
          </w:p>
        </w:tc>
      </w:tr>
      <w:tr>
        <w:trPr/>
        <w:tc>
          <w:tcPr>
            <w:tcW w:w="507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39,990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(23,010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7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2,390,592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1,965,726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424,866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Legal and professional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1,754,287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1,652,141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102,146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2,736,732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973,923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1,762,809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25,964,096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25,964,096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Advisory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11,737,806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11,237,806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44,583,513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5,091,790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39,491,723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(44,543,523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(5,028,790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(39,514,733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327,377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314,690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(798,311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(798,311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7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(1,227,487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(2,559,456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1,331,969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Loss on extinguishment of Bridge loan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(2,069,923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2,069,923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Loss on settlement of common share purchases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(380,162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(380,162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7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(46,622,106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(9,645,482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(36,976,624</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generated for fees for a “right to try” humanitarian program during 2025 and 2024.</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components of our research and development expenses for the periods presented:</w:t>
      </w:r>
    </w:p>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4490"/>
        <w:gridCol w:w="60"/>
        <w:gridCol w:w="140"/>
        <w:gridCol w:w="980"/>
        <w:gridCol w:w="60"/>
        <w:gridCol w:w="60"/>
        <w:gridCol w:w="140"/>
        <w:gridCol w:w="980"/>
        <w:gridCol w:w="75"/>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Nine Months Ended</w:t>
              <w:br/>
              <w:t>September 30,</w:t>
            </w:r>
          </w:p>
        </w:tc>
        <w:tc>
          <w:tcPr>
            <w:tcW w:w="75"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center"/>
              <w:rPr/>
            </w:pPr>
            <w:r>
              <w:rPr/>
              <w:t> </w:t>
            </w:r>
          </w:p>
        </w:tc>
      </w:tr>
      <w:tr>
        <w:trPr/>
        <w:tc>
          <w:tcPr>
            <w:tcW w:w="4490" w:type="dxa"/>
            <w:tcBorders/>
            <w:shd w:fill="CCEEFF" w:val="clear"/>
            <w:vAlign w:val="center"/>
          </w:tcPr>
          <w:p>
            <w:pPr>
              <w:pStyle w:val="TableContents"/>
              <w:bidi w:val="0"/>
              <w:spacing w:before="0" w:after="283"/>
              <w:jc w:val="left"/>
              <w:rPr>
                <w:b/>
              </w:rPr>
            </w:pPr>
            <w:r>
              <w:rPr>
                <w:b/>
              </w:rPr>
              <w:t>Research and development costs by project: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NEO100-01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851,664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693,328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NEO100-02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203,075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NEO212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798,997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549,249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Pediatric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103,338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Laboratory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192,377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362,858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50,518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53,878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2,390,592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1,965,726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3875"/>
        <w:gridCol w:w="60"/>
        <w:gridCol w:w="140"/>
        <w:gridCol w:w="980"/>
        <w:gridCol w:w="60"/>
        <w:gridCol w:w="60"/>
        <w:gridCol w:w="140"/>
        <w:gridCol w:w="980"/>
        <w:gridCol w:w="60"/>
        <w:gridCol w:w="60"/>
        <w:gridCol w:w="140"/>
        <w:gridCol w:w="875"/>
        <w:gridCol w:w="110"/>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w:t>
              <w:br/>
              <w:t>Nine Months Ended</w:t>
              <w:br/>
              <w:t>September 30,</w:t>
            </w:r>
          </w:p>
        </w:tc>
        <w:tc>
          <w:tcPr>
            <w:tcW w:w="110"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180"/>
              <w:jc w:val="center"/>
              <w:rPr/>
            </w:pPr>
            <w:r>
              <w:rPr/>
              <w:t> </w:t>
            </w:r>
          </w:p>
        </w:tc>
      </w:tr>
      <w:tr>
        <w:trPr/>
        <w:tc>
          <w:tcPr>
            <w:tcW w:w="3875" w:type="dxa"/>
            <w:tcBorders/>
            <w:shd w:fill="CCEEFF" w:val="clear"/>
            <w:vAlign w:val="center"/>
          </w:tcPr>
          <w:p>
            <w:pPr>
              <w:pStyle w:val="TableContents"/>
              <w:bidi w:val="0"/>
              <w:spacing w:before="0" w:after="283"/>
              <w:jc w:val="left"/>
              <w:rPr/>
            </w:pPr>
            <w:r>
              <w:rPr/>
              <w:t>Clinical trial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2,147,697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1,548,990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598,707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Research and laboratory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416,736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(173,841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Total research and development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2,390,592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1,965,726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424,866</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$2,390,592 and $1,965,726 for the nine months ended September 30, 2025 and 2024, respectively. A portion of these expenses amounting to approximately $242,895 and $416,736 for the nine months ended September 30, 2025 and 2024, respectively are from the University of Southern California (USC), where Dr. Chen is a member of the faculty. The total increase of $424,866 was primarily due to:</w:t>
      </w:r>
    </w:p>
    <w:p>
      <w:pPr>
        <w:pStyle w:val="TextBody"/>
        <w:bidi w:val="0"/>
        <w:spacing w:before="0" w:after="0"/>
        <w:ind w:left="0" w:right="0" w:firstLine="72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 of clinical trial sites for NEO100’s clinical trial.</w:t>
            </w:r>
          </w:p>
        </w:tc>
      </w:tr>
    </w:tbl>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for NEO212.</w:t>
            </w:r>
          </w:p>
        </w:tc>
      </w:tr>
    </w:tbl>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170"/>
        <w:gridCol w:w="5570"/>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start of the clinical trial for NEO100-03for a Pediatric Indication</w:t>
            </w:r>
          </w:p>
        </w:tc>
      </w:tr>
    </w:tbl>
    <w:p>
      <w:pPr>
        <w:pStyle w:val="TextBody"/>
        <w:bidi w:val="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patient recruitment efforts.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expenses were $1,754,287 and $1,652,141 for the nine months ended September 30, 2025 and 2024, respectively. The increase of $102,146 was primarily due to completion of the direct listing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$2,736,732 and $973,923 for the nine months ended September 30, 2025 and 2024, respectively. The increase of $,762,809 was primary due to amarketing campaign, increased employee headcount and resultant compensation and benefits, rent and travel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compensation resulted from the granting of RSUs and is the recognition of the expense from the grant date (which included a catch up period from the original date of issuance of the RSU’s through the Listing Date, due to the removal of the contingency which occurred on the Listing Date) through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Advisory Fee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advisory fee was earned on the Listing Date March 26,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$1,227,487 and $2,559,456 for the nine months ended September 30, 2025 and 2024, respectively. The interest for the nine months ended September 30, 2025 relates to the short-term loan in March from a related party in the amount of $300,000 and $146,250 interest for a litigation matter, and the accretion of the convertible note payable of $820,794. The OID interest for the nine months ended September 30, 2024 relates to the OID for the related party bridge loan that was converted into common stock in June of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 of Debt Issuance and Deferred Offering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debt issuance costs was $798,311 and $0 for the nine months ended September 30, 2025 and 2024, respectively. This represents the amortization of the warrants issued for the HCWG line of credit and deferred offering costs relating to the Mast Hill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Loss on Change in Fair Value of Derivative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derivative liability was $380,162 and $0 for the three months ended September 2025 and 2024, respectively. The loss on settlement is related to the discount offered investors who purchased shares of common stock under the equity line of credit, which commenced in July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for the periods indicated:</w:t>
      </w:r>
    </w:p>
    <w:p>
      <w:pPr>
        <w:pStyle w:val="TextBody"/>
        <w:bidi w:val="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3005"/>
        <w:gridCol w:w="60"/>
        <w:gridCol w:w="140"/>
        <w:gridCol w:w="1175"/>
        <w:gridCol w:w="95"/>
        <w:gridCol w:w="60"/>
        <w:gridCol w:w="140"/>
        <w:gridCol w:w="1055"/>
        <w:gridCol w:w="95"/>
        <w:gridCol w:w="60"/>
        <w:gridCol w:w="140"/>
        <w:gridCol w:w="1175"/>
        <w:gridCol w:w="110"/>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3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w:t>
              <w:br/>
              <w:t>Nine Months Ended</w:t>
              <w:br/>
              <w:t>September 30,</w:t>
            </w:r>
          </w:p>
        </w:tc>
        <w:tc>
          <w:tcPr>
            <w:tcW w:w="110"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180"/>
              <w:jc w:val="center"/>
              <w:rPr/>
            </w:pPr>
            <w:r>
              <w:rPr/>
              <w:t> </w:t>
            </w:r>
          </w:p>
        </w:tc>
      </w:tr>
      <w:tr>
        <w:trPr/>
        <w:tc>
          <w:tcPr>
            <w:tcW w:w="300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0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(16,772,777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(3,259,512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(13,513,265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18,221,108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4,562,277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13,658,831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0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1,448,331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1,302,765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145,566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net cash used in operating activities was $16,772,777 consisting primarily of our net loss of $46,622,106, offset by share based compensation of $25,964,096, accretion of original issue discounts of $820,794, amortization of assets of $1,161,331 and the accrued advisory fee of $3,675,569. These were offset by decreases in accrued compensation in the amount of $479,775 and prepaid expenses in the amount of $267,161.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net cash used in operating activities was $3,259,512 consisting primarily of our net loss of $9,645,482 less the non-cash charge of the accretion of the original issue discount on the bridge loan in the amount $2,558,241, less the non-cash charge for the loss on extinguishment of convertible debt of $2,069,923 and an increase in accounts payable of $957,162.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cash provided by financing activities was $18,221,108 consisting primarily of the sale of common stock of $11,324,522, proceeds from the issuance of the convertible note of $4,000,000 and proceeds from the sales of common stock under the equity line of credit of $3,196,736.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cash used in financing activities was $4,562,277, consisting primarily of proceeds from the sale of common stock of $4,615,789.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funded our operations through the sale and issuance of preferred and common stock and debt financing rounds from related and third parties.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sold 727,750 shares of common stock at a price of $16.00 per share for gross proceeds of $11,644,005 pursuant to a private placement of its securities, issued 46,000 shares as part of advisory services related to the listing and as part of the private placement fee for our equity line of credit, 162,500 shares were issued for the cashless exercise of warrants and issued 447,527 shares from the sale of shares under the equity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settlement of liabilities and commitments in the normal course of business. Since our inception, we have not generated any revenue from product sales or any other sources, except humanitarian use, and we have incurred significant operating losses. We have not yet commercialized any products, and we do not expect to generate revenue from sales of any product candidates for a number of years, if ever. As reflected in the accompanying consolidated financial statements, we have incurred recurring net losses since our inception. For the three and nine months ended September 30, 2025, the Company incurred a net loss of $8,615,920 and $46,622,106, respectively, and had an accumulated deficit of $97,230,551 at September 30, 2025. At September 30, 2025, the Company had cash totaling $1,513,224. These factors raise substantial doubt about our ability to continue as a going concern. Our ability to continue as a going concern is dependent upon our ability to raise additional funds and implement our strategies, such as executing additional licensing contracts. The consolidated financial statements do not include any adjustments that might be necessary if we are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us raising additional capital and attaining and maintaining profitable operations in the future to meet our obligations and repay our liabilities arising from normal business operations when they come due. Since inception, we have funded our operations primarily through equity and debt financings and licensing income and we expect to continue to rely on these sources of capital in the future.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shareholders, in the case of equity financing, or grant unfavorable terms in licensing agreements.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development programs or future commercialization efforts.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finance our operations over the next 12 months primarily through existing cash balances and the proceeds from the aforementioned private placements and supplemented as necessary by funds available through our Line of Credit Agreement with HCWG and sales under the Equity Purchase Agreement, each as described below. We have based this estimate on assumptions that may prove to be wrong, and we may use our available capital resources sooner than we currently expect. Our future capital requirements will depend on a number of factors, including:</w:t>
      </w:r>
    </w:p>
    <w:p>
      <w:pPr>
        <w:pStyle w:val="TextBody"/>
        <w:bidi w:val="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conducting preclinical studies and clinical trials;</w:t>
            </w:r>
          </w:p>
        </w:tc>
      </w:tr>
    </w:tbl>
    <w:p>
      <w:pPr>
        <w:pStyle w:val="TextBody"/>
        <w:bidi w:val="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discovery, preclinical development, laboratory testing, and clinical trials for product candidates we may develop, if any;</w:t>
            </w:r>
          </w:p>
        </w:tc>
      </w:tr>
    </w:tbl>
    <w:p>
      <w:pPr>
        <w:pStyle w:val="TextBody"/>
        <w:bidi w:val="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p>
      <w:pPr>
        <w:pStyle w:val="TextBody"/>
        <w:bidi w:val="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on favorable terms, if at all;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the occurrence of other developments that trigger payments under any license or collaboration agreements we might have at such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sales, marketing, manufacturing and distribution, for any of our product candidates for which we receive marketing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if any, received from commercial sales of our product candidates, should any of our product candidates receive marketing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obtaining, maintaining and enforcing our intellectual property rights, and defending intellectual property-related claims;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business operations and research and development activities; and</w:t>
            </w:r>
          </w:p>
        </w:tc>
      </w:tr>
    </w:tbl>
    <w:p>
      <w:pPr>
        <w:pStyle w:val="TextBody"/>
        <w:bidi w:val="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revenues, we expect to finance our cash needs through public or private equity offerings and debt financings or other sources, such as potential collaboration agreements, strategic alliances and licensing arrangements.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stock-based compensation, including restricted stock units (RSUs), in accordance with ASC 718. RSUs are measured at fair value on the grant date based on our common stock price and expense over the vesting period. For awards with performance or market conditions, expense is recognized based on the probability of achievement and may be accelerated. We estimate forfeitures based on historical data and adjust these estimates periodically. Changes in forfeiture rates, stock price, or performance assumptions can materially affect stock-based compensation expenses. Management reviews these assumptions quarterly and updates estimates as necessary. We consider the accounting for RSUs a critical estimate due to the judgment involved and its material impact on our financial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1" w:name="a_009"/>
      <w:bookmarkEnd w:id="571"/>
      <w:r>
        <w:rPr>
          <w:rFonts w:ascii="Times New Roman;Times;Serif" w:hAnsi="Times New Roman;Times;Serif"/>
          <w:b/>
          <w:i w:val="false"/>
          <w:caps w:val="false"/>
          <w:smallCaps w:val="false"/>
          <w:sz w:val="20"/>
        </w:rPr>
        <w:t>Item 3. Quantitative and Qualitative Disclosures About Market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exposed to significant market risk related to changes in foreign currency exchange rates. However, we have contracted with and may continue to contract with foreign vendors that are located in Europe and India. Our operations may be subject to fluctuations in foreign currency exchange rates in the future.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us by increasing our cost of labor. We do not believe that inflation had a material effect on our business, financial condition or results of operations during the three and nine months ended September 30, 2025 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2" w:name="a_010"/>
      <w:bookmarkEnd w:id="572"/>
      <w:r>
        <w:rPr>
          <w:rFonts w:ascii="Times New Roman;Times;Serif" w:hAnsi="Times New Roman;Times;Serif"/>
          <w:b/>
          <w:i w:val="false"/>
          <w:caps w:val="false"/>
          <w:smallCaps w:val="false"/>
          <w:sz w:val="20"/>
        </w:rPr>
        <w:t>Item 4.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identified all of the information required to be disclosed, and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June 30, 2025. Based upon their evaluation, and due to material weaknesses in our internal control over financial reporting related to; controls over segregation of duties, entity level controls over the risk assessment, information and communication and monitoring process, financial controls over all significant transaction classes, controls over authorization and tracking of related party transactions and controls over information technology over user access and provisioning, our Chief Executive Officer and Chief Financial Officer concluded that our disclosure controls and procedures (as defined in Rules 13a-15(e) and 15d-15(e) under the Exchange Act) were not effective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 13a-15(f) under the Securities Exchange Act of 1934) during the quarter ended September 30, 2025,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consolidated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errors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September 30, 2025, due to the material weakness in our internal control over duties separation, company-wide risk and communication processes, major financial transactions, related party dealings, and IT user access management. As a result, we performed additional analysis as deemed necessary to ensure that our consolidated financial statements were prepared in accordance with U.S. generally accepted accounting principles. Accordingly, management believes that the consolidated financial statements included in this Form 10-Q present fairly in all material respects our financial position, results of operations, and cash flows for the period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implemented remediation steps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 The Company can offer no assurance that these changes will ultimately have the intended effects.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does not include an attestation report on internal controls from our independent registered public accounting firm due to our status as an emerging growth company under the JOBS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3" w:name="a_011"/>
      <w:bookmarkEnd w:id="573"/>
      <w:r>
        <w:rPr>
          <w:rFonts w:ascii="Times New Roman;Times;Serif" w:hAnsi="Times New Roman;Times;Serif"/>
          <w:b/>
          <w:i w:val="false"/>
          <w:caps w:val="false"/>
          <w:smallCaps w:val="false"/>
          <w:sz w:val="20"/>
        </w:rPr>
        <w:t>PART II -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4" w:name="a_012"/>
      <w:bookmarkEnd w:id="574"/>
      <w:r>
        <w:rPr>
          <w:rFonts w:ascii="Times New Roman;Times;Serif" w:hAnsi="Times New Roman;Times;Serif"/>
          <w:b/>
          <w:i w:val="false"/>
          <w:caps w:val="false"/>
          <w:smallCaps w:val="false"/>
          <w:sz w:val="20"/>
        </w:rPr>
        <w:t>Item 1. Legal Proceedings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the IPLSA. This matter was settled on October 16, 2023, and the Company agreed to pay the vendor $600,000 within 5 business days of the close of the date that the Company completes an IPO or March 31, 2024, whichever occurs first. The Company recognized this as a litigation settlement expense in the accompanying consolidated statement of operations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2024, the vendor agreed to extend the payment until May 15, 2024 for payment of an additional $25,000. The Company has not made the payment as of October 28, 2024, and the settlement is payable on demand. Such an amount is included in litigation settlement payable in the accompanying consolidated balance sheet at December 31, 2024. On July 25, 2024 the arbitrator granted the implementation of interest at the statutory rate on the unpaid balance commencing May 15, 2024 until paid. This is still outstanding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2022, NeOnc Technologies, Inc. and Fox Infused, LLC, a Delaware limited liability company (“Fox Infused”), entered into an Intellectual Property License and Supply Agreement effective July 1, 2022 (the “Agreement”) whereby NeOnc agreed to supply certain products to Fox Infused and license certain of our patents. We terminated the Agreement with Fox Infused on April 25, 2023. On June 6, 2023, Fox Infused filed a complaint against NeOnc in the Central District of California alleging that the termination was improper (Civil Action No. 2:23-04431). Fox Infused also filed an ex parte application for a temporary restraining order and an order to show cause on a preliminary injunction against us seeking to have the court stop the termination of the contract. Fox Infused’s temporary restraining order application was denied and the case dismissed without prejudice. Fox Infused refiled the case in arbitration before the American Arbitration Association (Case No. 01-23-0002-5020). The parties engaged in settlement discussions and agreed to settle the dispute for a $600,000 payment by us to Fox Infused within 5 business days of the closing date of the Company’s initial public offering or March 31, 2024. The Company is currently in default under the terms of such a settlement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that set forth above, 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5" w:name="a_013"/>
      <w:bookmarkEnd w:id="575"/>
      <w:r>
        <w:rPr>
          <w:rFonts w:ascii="Times New Roman;Times;Serif" w:hAnsi="Times New Roman;Times;Serif"/>
          <w:b/>
          <w:i w:val="false"/>
          <w:caps w:val="false"/>
          <w:smallCaps w:val="false"/>
          <w:sz w:val="20"/>
        </w:rPr>
        <w:t>Item 1A. Risk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risk factors previously disclosed under Item 1A, “Risk Factors,” of our Quarterly Report on Form 10-Q for the period ended March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a high degree of risk. You should carefully consider the following risk factors, as well as the other information in this Quarterly Report on Form 10-Q, before deciding whether to invest in shares of our common stock. If any of the following risks actually occurs, our business, results of operations and financial condition could be materially adversely affected. In this case, the trading price of our common stock would likely decline, and you might lose part or all your investment in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6" w:name="a_014"/>
      <w:bookmarkEnd w:id="576"/>
      <w:r>
        <w:rPr>
          <w:rFonts w:ascii="Times New Roman;Times;Serif" w:hAnsi="Times New Roman;Times;Serif"/>
          <w:b/>
          <w:i w:val="false"/>
          <w:caps w:val="false"/>
          <w:smallCaps w:val="false"/>
          <w:sz w:val="20"/>
        </w:rPr>
        <w:t>Item 2. Unregistered Sales of Equity Securities and 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issued the following unregistered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50,000 restricted stock units were granted to each of Dr. Steven L. Giannotta, Jim Delshad and Dr. Ming-Fu Chiang. The forgoing restricted stock units vest one hundred percent (100%) seven months following March 25,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issued 624,999 shares of common stock to various unaffiliated third parties in a private placement at a price of $16.00 per share for gross proceeds of approximately $10,000,000.</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issued to Dawson James Securities, Inc. and Mast Hill Partner LP 30,000 and 16,000 shares of common stock upon the time of our direct listing, respectively.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issued 102,750 shares of common stock to various unaffiliated third parties in a private placement at a price of $16.00 per share for gross proceeds of approximately $1,644,000.</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200,000 restricted stock units were granted to Josh Newman. The forgoing restricted stock units vest one hundred percent (100%) thirty-six months following issuance.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sold 132,342 shares of common stock at $3.73 per share for gross proceeds of approximately $489,000 pursuant to Equity Purchase Agreement with Mast Hill Fund,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sold 315,185 shares of common stock at $7.60 – 9.53 per share for gross proceeds of approximately $2,710,000 pursuant to Equity Purchase Agreement with Mast Hill Fund,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7" w:name="a_015"/>
      <w:bookmarkEnd w:id="577"/>
      <w:r>
        <w:rPr>
          <w:rFonts w:ascii="Times New Roman;Times;Serif" w:hAnsi="Times New Roman;Times;Serif"/>
          <w:b/>
          <w:i w:val="false"/>
          <w:caps w:val="false"/>
          <w:smallCaps w:val="false"/>
          <w:sz w:val="20"/>
        </w:rPr>
        <w:t>Item 3. Defaults Upon Senior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8" w:name="a_016"/>
      <w:bookmarkEnd w:id="578"/>
      <w:r>
        <w:rPr>
          <w:rFonts w:ascii="Times New Roman;Times;Serif" w:hAnsi="Times New Roman;Times;Serif"/>
          <w:b/>
          <w:i w:val="false"/>
          <w:caps w:val="false"/>
          <w:smallCaps w:val="false"/>
          <w:sz w:val="20"/>
        </w:rPr>
        <w:t>Item 4. Mine Safety Disclosures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9" w:name="a_017"/>
      <w:bookmarkEnd w:id="579"/>
      <w:r>
        <w:rPr>
          <w:rFonts w:ascii="Times New Roman;Times;Serif" w:hAnsi="Times New Roman;Times;Serif"/>
          <w:b/>
          <w:i w:val="false"/>
          <w:caps w:val="false"/>
          <w:smallCaps w:val="false"/>
          <w:sz w:val="20"/>
        </w:rPr>
        <w:t>Item 5. Other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580" w:name="xdx_907_eecd--NonRule10b51ArrTrmntdFlag_"/>
      <w:bookmarkStart w:id="581" w:name="xdx_909_eecd--Rule10b51ArrTrmntdFlag_dbF"/>
      <w:bookmarkStart w:id="582" w:name="xdx_90A_eecd--NonRule10b51ArrAdoptedFlag"/>
      <w:bookmarkStart w:id="583" w:name="xdx_90A_eecd--Rule10b51ArrAdoptedFlag_db"/>
      <w:bookmarkEnd w:id="580"/>
      <w:bookmarkEnd w:id="581"/>
      <w:bookmarkEnd w:id="582"/>
      <w:bookmarkEnd w:id="583"/>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84" w:name="a_018"/>
      <w:bookmarkEnd w:id="584"/>
      <w:r>
        <w:rPr>
          <w:rFonts w:ascii="Times New Roman;Times;Serif" w:hAnsi="Times New Roman;Times;Serif"/>
          <w:b/>
          <w:i w:val="false"/>
          <w:caps w:val="false"/>
          <w:smallCaps w:val="false"/>
          <w:sz w:val="20"/>
        </w:rPr>
        <w:t>Item 6. Exhibit Index</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4"/>
        <w:gridCol w:w="60"/>
        <w:gridCol w:w="9151"/>
      </w:tblGrid>
      <w:tr>
        <w:trPr/>
        <w:tc>
          <w:tcPr>
            <w:tcW w:w="994"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center"/>
              <w:rPr/>
            </w:pPr>
            <w:r>
              <w:rPr/>
              <w:t> </w:t>
            </w:r>
          </w:p>
        </w:tc>
        <w:tc>
          <w:tcPr>
            <w:tcW w:w="9151"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1" w:type="dxa"/>
            <w:tcBorders/>
            <w:shd w:fill="CCEEFF" w:val="clear"/>
            <w:tcMar>
              <w:bottom w:w="0" w:type="dxa"/>
            </w:tcMar>
            <w:vAlign w:val="center"/>
          </w:tcPr>
          <w:p>
            <w:pPr>
              <w:pStyle w:val="TableContents"/>
              <w:bidi w:val="0"/>
              <w:spacing w:before="0" w:after="283"/>
              <w:jc w:val="both"/>
              <w:rPr/>
            </w:pPr>
            <w:hyperlink r:id="rId2">
              <w:r>
                <w:rPr>
                  <w:rStyle w:val="InternetLink"/>
                  <w:sz w:val="20"/>
                </w:rPr>
                <w:t>Amended and Restated Certificate of Incorporation (incorporated by reference to Exhibit 3.1 filed on Form 8-K filed by the Registrant on March 27, 2025)</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3.2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1" w:type="dxa"/>
            <w:tcBorders/>
            <w:shd w:fill="FFFFFF" w:val="clear"/>
            <w:tcMar>
              <w:bottom w:w="0" w:type="dxa"/>
            </w:tcMar>
            <w:vAlign w:val="center"/>
          </w:tcPr>
          <w:p>
            <w:pPr>
              <w:pStyle w:val="TableContents"/>
              <w:bidi w:val="0"/>
              <w:spacing w:before="0" w:after="283"/>
              <w:jc w:val="both"/>
              <w:rPr/>
            </w:pPr>
            <w:hyperlink r:id="rId3">
              <w:r>
                <w:rPr>
                  <w:rStyle w:val="InternetLink"/>
                  <w:sz w:val="20"/>
                </w:rPr>
                <w:t>Amended and Restated Bylaws (incorporated by reference to Exhibit 3.2 filed on Form 8-K filed by the Registrant on March 27, 2025)</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1" w:type="dxa"/>
            <w:tcBorders/>
            <w:shd w:fill="CCEEFF" w:val="clear"/>
            <w:tcMar>
              <w:bottom w:w="0" w:type="dxa"/>
            </w:tcMar>
            <w:vAlign w:val="center"/>
          </w:tcPr>
          <w:p>
            <w:pPr>
              <w:pStyle w:val="TableContents"/>
              <w:bidi w:val="0"/>
              <w:spacing w:before="0" w:after="283"/>
              <w:jc w:val="both"/>
              <w:rPr/>
            </w:pPr>
            <w:hyperlink r:id="rId4">
              <w:r>
                <w:rPr>
                  <w:rStyle w:val="InternetLink"/>
                  <w:sz w:val="20"/>
                </w:rPr>
                <w:t>Form of Common Stock Certificate (incorporated by reference to Exhibit 4.1 filed with the Registration Statement on Form S-1 filed by the Registrant on January 3, 2025)</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4.2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1" w:type="dxa"/>
            <w:tcBorders/>
            <w:shd w:fill="FFFFFF" w:val="clear"/>
            <w:tcMar>
              <w:bottom w:w="0" w:type="dxa"/>
            </w:tcMar>
            <w:vAlign w:val="center"/>
          </w:tcPr>
          <w:p>
            <w:pPr>
              <w:pStyle w:val="TableContents"/>
              <w:bidi w:val="0"/>
              <w:spacing w:before="0" w:after="283"/>
              <w:jc w:val="both"/>
              <w:rPr/>
            </w:pPr>
            <w:hyperlink r:id="rId5">
              <w:r>
                <w:rPr>
                  <w:rStyle w:val="InternetLink"/>
                  <w:sz w:val="20"/>
                </w:rPr>
                <w:t>Fourth Amended &amp; Restated Promissory Note, dated December 4, 2023, by NeOnc Technologies Holdings, Inc. and Holders (incorporated by reference to Exhibit 4.2 filed with the Registration Statement on Form S-1 filed by the Registrant on January 3, 2025)</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1" w:type="dxa"/>
            <w:tcBorders/>
            <w:shd w:fill="CCEEFF" w:val="clear"/>
            <w:tcMar>
              <w:bottom w:w="0" w:type="dxa"/>
            </w:tcMar>
            <w:vAlign w:val="center"/>
          </w:tcPr>
          <w:p>
            <w:pPr>
              <w:pStyle w:val="TableContents"/>
              <w:bidi w:val="0"/>
              <w:spacing w:before="0" w:after="283"/>
              <w:jc w:val="both"/>
              <w:rPr/>
            </w:pPr>
            <w:hyperlink r:id="rId6">
              <w:r>
                <w:rPr>
                  <w:rStyle w:val="InternetLink"/>
                  <w:sz w:val="20"/>
                </w:rPr>
                <w:t>Promissory Note, dated October 11, 2024, by NeOnc Technologies Holdings, Inc. and HCWG LLC (incorporated by reference to Exhibit 4.3 filed with the Registration Statement on Form S-1 filed by the Registrant on January 3, 2025)</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1" w:type="dxa"/>
            <w:tcBorders/>
            <w:shd w:fill="FFFFFF" w:val="clear"/>
            <w:tcMar>
              <w:bottom w:w="0" w:type="dxa"/>
            </w:tcMar>
            <w:vAlign w:val="center"/>
          </w:tcPr>
          <w:p>
            <w:pPr>
              <w:pStyle w:val="TableContents"/>
              <w:bidi w:val="0"/>
              <w:spacing w:before="0" w:after="283"/>
              <w:jc w:val="both"/>
              <w:rPr/>
            </w:pPr>
            <w:hyperlink r:id="rId7">
              <w:r>
                <w:rPr>
                  <w:rStyle w:val="InternetLink"/>
                  <w:sz w:val="20"/>
                </w:rPr>
                <w:t>Common Stock Purchase Warrant, dated October 11, 2024, by NeOnc Technologies Holdings, Inc. and HCWG LLC (incorporated by reference to Exhibit 4.4 filed with the Registration Statement on Form S-1 filed by the Registrant on January 3, 2025)</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 xml:space="preserve">4.5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1" w:type="dxa"/>
            <w:tcBorders/>
            <w:shd w:fill="CCEEFF" w:val="clear"/>
            <w:tcMar>
              <w:bottom w:w="0" w:type="dxa"/>
            </w:tcMar>
            <w:vAlign w:val="center"/>
          </w:tcPr>
          <w:p>
            <w:pPr>
              <w:pStyle w:val="TableContents"/>
              <w:bidi w:val="0"/>
              <w:spacing w:before="0" w:after="283"/>
              <w:jc w:val="both"/>
              <w:rPr/>
            </w:pPr>
            <w:hyperlink r:id="rId8">
              <w:r>
                <w:rPr>
                  <w:rStyle w:val="InternetLink"/>
                  <w:sz w:val="20"/>
                </w:rPr>
                <w:t>Promissory Note, dated February 25, 2025, by NeOnc Technologies Holdings, Inc. and Amir Heshmatpour (incorporated by reference to Exhibit 4.5 filed with the Registration Statement on Form S-1 filed by the Registrant on February 26, 2025)</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pPr>
            <w:hyperlink r:id="rId9">
              <w:r>
                <w:rPr>
                  <w:rStyle w:val="InternetLink"/>
                  <w:sz w:val="20"/>
                </w:rPr>
                <w:t>Form of Convertible Promissory Note (incorporated by reference to Exhibit 4.1 filed with the Form 8-K filed by the Registrant on July 22, 2025)</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1" w:type="dxa"/>
            <w:tcBorders/>
            <w:shd w:fill="CCEEFF" w:val="clear"/>
            <w:tcMar>
              <w:bottom w:w="0" w:type="dxa"/>
            </w:tcMar>
            <w:vAlign w:val="center"/>
          </w:tcPr>
          <w:p>
            <w:pPr>
              <w:pStyle w:val="TableContents"/>
              <w:bidi w:val="0"/>
              <w:spacing w:before="0" w:after="283"/>
              <w:jc w:val="both"/>
              <w:rPr/>
            </w:pPr>
            <w:hyperlink r:id="rId10">
              <w:r>
                <w:rPr>
                  <w:rStyle w:val="InternetLink"/>
                  <w:sz w:val="20"/>
                </w:rPr>
                <w:t>Form of Convertible Promissory Note Purchase Agreement (incorporated by reference to Exhibit 10.1 filed with the Form 8-K filed by the Registrant on July 22, 2025)</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pPr>
            <w:hyperlink r:id="rId11">
              <w:r>
                <w:rPr>
                  <w:rStyle w:val="InternetLink"/>
                  <w:sz w:val="20"/>
                </w:rPr>
                <w:t>Letter of Intent dated July 24, 2025, between the Company, Dr. Ishwar Puri and Beth Levinson (incorporated by reference to Exhibit 10.1 filed with the Form 8-K filed by the Registrant on July 30, 2025)</w:t>
              </w:r>
            </w:hyperlink>
          </w:p>
        </w:tc>
      </w:tr>
      <w:tr>
        <w:trPr/>
        <w:tc>
          <w:tcPr>
            <w:tcW w:w="9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0"/>
              <w:jc w:val="both"/>
              <w:rPr/>
            </w:pPr>
            <w:hyperlink r:id="rId12">
              <w:r>
                <w:rPr>
                  <w:rStyle w:val="InternetLink"/>
                  <w:rFonts w:ascii="Times New Roman;Times;Serif" w:hAnsi="Times New Roman;Times;Serif"/>
                  <w:sz w:val="20"/>
                </w:rPr>
                <w:t>Subscription Agreement dated June 28, 2025, between NuroMENA and Quazar (incorporated by reference to Exhibit 10.1 filed with the Form 8-K filed by the Registrant on August 1, 2025)</w:t>
              </w:r>
            </w:hyperlink>
          </w:p>
        </w:tc>
      </w:tr>
      <w:tr>
        <w:trPr/>
        <w:tc>
          <w:tcPr>
            <w:tcW w:w="99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pPr>
            <w:hyperlink r:id="rId13">
              <w:r>
                <w:rPr>
                  <w:rStyle w:val="InternetLink"/>
                </w:rPr>
                <w:t>Share Exchange Agreement, dated August 18, 2025 (incorporated by reference to Exhibit 10.1 filed with the Form 8-K filed by the Registrant on August 22, 2025)</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283"/>
              <w:jc w:val="both"/>
              <w:rPr/>
            </w:pPr>
            <w:hyperlink r:id="rId14">
              <w:r>
                <w:rPr>
                  <w:rStyle w:val="InternetLink"/>
                </w:rPr>
                <w:t>Master Services Agreement, dated October 4, 2025 (incorporated by reference to Exhibit 10.1 filed with the Form 8-K filed by the Registrant on October 9, 2025)</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pPr>
            <w:hyperlink r:id="rId15">
              <w:r>
                <w:rPr>
                  <w:rStyle w:val="InternetLink"/>
                </w:rPr>
                <w:t>Third Amendment to Employment Agreement (incorporated by reference to Exhibit 10.1 filed with the Form 8-K filed by the Registrant on November 6, 2025)</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283"/>
              <w:jc w:val="both"/>
              <w:rPr/>
            </w:pPr>
            <w:hyperlink r:id="rId16">
              <w:r>
                <w:rPr>
                  <w:rStyle w:val="InternetLink"/>
                </w:rPr>
                <w:t>Restricted Stock Award Agreement (incorporated by reference to Exhibit 10.2 filed with the Form 8-K filed by the Registrant on November 6, 2025)</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pPr>
            <w:hyperlink w:anchor="neonctechnologies_ex31-1.htm">
              <w:r>
                <w:rPr>
                  <w:rStyle w:val="InternetLink"/>
                  <w:sz w:val="20"/>
                </w:rPr>
                <w:t>Certification of Principal Executive Officer Pursuant to Rules 13a-14(a) and 15d-14(a)</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283"/>
              <w:jc w:val="both"/>
              <w:rPr/>
            </w:pPr>
            <w:hyperlink w:anchor="neonctechnologies_ex31-2.htm">
              <w:r>
                <w:rPr>
                  <w:rStyle w:val="InternetLink"/>
                  <w:sz w:val="20"/>
                </w:rPr>
                <w:t>Certification of Principal Financial Officer Pursuant to Rules 13a-14(a) and 15d-14(a)</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32.1**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pPr>
            <w:hyperlink w:anchor="neonctechnologies_ex32-1.htm">
              <w:r>
                <w:rPr>
                  <w:rStyle w:val="InternetLink"/>
                  <w:sz w:val="20"/>
                </w:rPr>
                <w:t>Certification of Principal Executive Officer Pursuant to 18 U.S.C. Section 1350</w:t>
              </w:r>
            </w:hyperlink>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283"/>
              <w:jc w:val="both"/>
              <w:rPr/>
            </w:pPr>
            <w:hyperlink w:anchor="neonctechnologies_ex32-2.htm">
              <w:r>
                <w:rPr>
                  <w:rStyle w:val="InternetLink"/>
                  <w:sz w:val="20"/>
                </w:rPr>
                <w:t>Certification of Principal Financial Officer Pursuant to 18 U.S.C. Section 1350</w:t>
              </w:r>
            </w:hyperlink>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sz w:val="20"/>
              </w:rPr>
            </w:pPr>
            <w:r>
              <w:rPr>
                <w:sz w:val="20"/>
              </w:rPr>
              <w:t>Inline XBRL Instance</w:t>
            </w:r>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283"/>
              <w:jc w:val="both"/>
              <w:rPr>
                <w:sz w:val="20"/>
              </w:rPr>
            </w:pPr>
            <w:r>
              <w:rPr>
                <w:sz w:val="20"/>
              </w:rPr>
              <w:t>Inline XBRL Taxonomy Extension Schema</w:t>
            </w:r>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sz w:val="20"/>
              </w:rPr>
            </w:pPr>
            <w:r>
              <w:rPr>
                <w:sz w:val="20"/>
              </w:rPr>
              <w:t>Inline XBRL Taxonomy Extension Calculation</w:t>
            </w:r>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283"/>
              <w:jc w:val="both"/>
              <w:rPr>
                <w:sz w:val="20"/>
              </w:rPr>
            </w:pPr>
            <w:r>
              <w:rPr>
                <w:sz w:val="20"/>
              </w:rPr>
              <w:t>Inline XBRL Taxonomy Extension Labels</w:t>
            </w:r>
          </w:p>
        </w:tc>
      </w:tr>
      <w:tr>
        <w:trPr/>
        <w:tc>
          <w:tcPr>
            <w:tcW w:w="994" w:type="dxa"/>
            <w:tcBorders/>
            <w:shd w:fill="FFFFFF" w:val="clear"/>
            <w:tcMar>
              <w:bottom w:w="0" w:type="dxa"/>
            </w:tcMar>
            <w:vAlign w:val="center"/>
          </w:tcPr>
          <w:p>
            <w:pPr>
              <w:pStyle w:val="TableContents"/>
              <w:bidi w:val="0"/>
              <w:spacing w:before="0" w:after="283"/>
              <w:jc w:val="left"/>
              <w:rPr>
                <w:sz w:val="20"/>
              </w:rPr>
            </w:pPr>
            <w:r>
              <w:rPr>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1" w:type="dxa"/>
            <w:tcBorders/>
            <w:shd w:fill="FFFFFF" w:val="clear"/>
            <w:tcMar>
              <w:bottom w:w="0" w:type="dxa"/>
            </w:tcMar>
            <w:vAlign w:val="center"/>
          </w:tcPr>
          <w:p>
            <w:pPr>
              <w:pStyle w:val="TableContents"/>
              <w:bidi w:val="0"/>
              <w:spacing w:before="0" w:after="283"/>
              <w:jc w:val="both"/>
              <w:rPr>
                <w:sz w:val="20"/>
              </w:rPr>
            </w:pPr>
            <w:r>
              <w:rPr>
                <w:sz w:val="20"/>
              </w:rPr>
              <w:t>Inline XBRL Taxonomy Extension Presentation</w:t>
            </w:r>
          </w:p>
        </w:tc>
      </w:tr>
      <w:tr>
        <w:trPr/>
        <w:tc>
          <w:tcPr>
            <w:tcW w:w="99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1"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and contained in Exhibit 101)</w:t>
            </w:r>
          </w:p>
        </w:tc>
      </w:tr>
    </w:tbl>
    <w:p>
      <w:pPr>
        <w:pStyle w:val="TextBody"/>
        <w:bidi w:val="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908" w:type="dxa"/>
        <w:jc w:val="left"/>
        <w:tblInd w:w="0" w:type="dxa"/>
        <w:tblLayout w:type="fixed"/>
        <w:tblCellMar>
          <w:top w:w="0" w:type="dxa"/>
          <w:left w:w="0" w:type="dxa"/>
          <w:bottom w:w="0" w:type="dxa"/>
          <w:right w:w="0" w:type="dxa"/>
        </w:tblCellMar>
      </w:tblPr>
      <w:tblGrid>
        <w:gridCol w:w="38"/>
        <w:gridCol w:w="23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bookmarkStart w:id="585" w:name="a_019"/>
      <w:bookmarkEnd w:id="585"/>
      <w:r>
        <w:rPr>
          <w:rFonts w:ascii="Times New Roman;Times;Serif" w:hAnsi="Times New Roman;Times;Serif"/>
          <w:b/>
          <w:i w:val="false"/>
          <w:caps w:val="false"/>
          <w:smallCaps w:val="false"/>
          <w:sz w:val="20"/>
          <w:shd w:fill="FFFFFF" w:val="clear"/>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Pursuant to the requirements of the Securities Act of 1933, the registrant has duly caused this Quarterly Report on Form 10-Q to be signed on its behalf by the undersigned, thereunto duly authorized, in Los Angeles, California, </w:t>
      </w:r>
      <w:r>
        <w:rPr>
          <w:rFonts w:ascii="Times New Roman;Times;Serif" w:hAnsi="Times New Roman;Times;Serif"/>
          <w:b w:val="false"/>
          <w:i w:val="false"/>
          <w:caps w:val="false"/>
          <w:smallCaps w:val="false"/>
          <w:sz w:val="20"/>
        </w:rPr>
        <w:t>on November 14, 2025.</w:t>
      </w:r>
    </w:p>
    <w:p>
      <w:pPr>
        <w:pStyle w:val="TextBody"/>
        <w:bidi w:val="0"/>
        <w:spacing w:before="0" w:after="0"/>
        <w:ind w:left="0" w:right="0" w:firstLine="72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Amir Heshmatpour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Heshmatpour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required under the Securities Act of 1933, this Quarterly Report on Form 10-Q has been signed below by the following persons, in the capacities and on the dates indicated:</w:t>
      </w:r>
    </w:p>
    <w:p>
      <w:pPr>
        <w:pStyle w:val="TextBody"/>
        <w:bidi w:val="0"/>
        <w:spacing w:before="0" w:after="0"/>
        <w:jc w:val="both"/>
        <w:rPr>
          <w:caps w:val="false"/>
          <w:smallCaps w:val="false"/>
        </w:rPr>
      </w:pPr>
      <w:r>
        <w:rPr>
          <w:caps w:val="false"/>
          <w:smallCaps w:val="false"/>
        </w:rPr>
        <w:t> </w:t>
      </w:r>
    </w:p>
    <w:tbl>
      <w:tblPr>
        <w:tblW w:w="6090" w:type="dxa"/>
        <w:jc w:val="left"/>
        <w:tblInd w:w="0" w:type="dxa"/>
        <w:tblLayout w:type="fixed"/>
        <w:tblCellMar>
          <w:top w:w="0" w:type="dxa"/>
          <w:left w:w="0" w:type="dxa"/>
          <w:bottom w:w="28" w:type="dxa"/>
          <w:right w:w="0" w:type="dxa"/>
        </w:tblCellMar>
      </w:tblPr>
      <w:tblGrid>
        <w:gridCol w:w="1805"/>
        <w:gridCol w:w="60"/>
        <w:gridCol w:w="2525"/>
        <w:gridCol w:w="60"/>
        <w:gridCol w:w="1640"/>
      </w:tblGrid>
      <w:tr>
        <w:trPr/>
        <w:tc>
          <w:tcPr>
            <w:tcW w:w="1805" w:type="dxa"/>
            <w:tcBorders>
              <w:bottom w:val="single" w:sz="8" w:space="0" w:color="000000"/>
            </w:tcBorders>
            <w:vAlign w:val="center"/>
          </w:tcPr>
          <w:p>
            <w:pPr>
              <w:pStyle w:val="TableContents"/>
              <w:bidi w:val="0"/>
              <w:spacing w:before="0" w:after="283"/>
              <w:jc w:val="left"/>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252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640"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pPr>
            <w:r>
              <w:rPr/>
              <w:t> </w:t>
            </w:r>
          </w:p>
        </w:tc>
      </w:tr>
      <w:tr>
        <w:trPr/>
        <w:tc>
          <w:tcPr>
            <w:tcW w:w="1805" w:type="dxa"/>
            <w:tcBorders>
              <w:bottom w:val="single" w:sz="8" w:space="0" w:color="000000"/>
            </w:tcBorders>
            <w:vAlign w:val="center"/>
          </w:tcPr>
          <w:p>
            <w:pPr>
              <w:pStyle w:val="TableContents"/>
              <w:bidi w:val="0"/>
              <w:spacing w:before="0" w:after="283"/>
              <w:jc w:val="left"/>
              <w:rPr>
                <w:sz w:val="20"/>
              </w:rPr>
            </w:pPr>
            <w:r>
              <w:rPr>
                <w:sz w:val="20"/>
              </w:rPr>
              <w:t>/s/ Amir Heshmatpour</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left"/>
              <w:rPr>
                <w:sz w:val="20"/>
              </w:rPr>
            </w:pPr>
            <w:r>
              <w:rPr>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sz w:val="20"/>
              </w:rPr>
            </w:pPr>
            <w:r>
              <w:rPr>
                <w:sz w:val="20"/>
              </w:rPr>
              <w:t>November 14, 2025</w:t>
            </w:r>
          </w:p>
        </w:tc>
      </w:tr>
      <w:tr>
        <w:trPr/>
        <w:tc>
          <w:tcPr>
            <w:tcW w:w="1805" w:type="dxa"/>
            <w:tcBorders/>
            <w:tcMar>
              <w:bottom w:w="0" w:type="dxa"/>
            </w:tcMar>
            <w:vAlign w:val="center"/>
          </w:tcPr>
          <w:p>
            <w:pPr>
              <w:pStyle w:val="TableContents"/>
              <w:bidi w:val="0"/>
              <w:spacing w:before="0" w:after="283"/>
              <w:jc w:val="left"/>
              <w:rPr>
                <w:sz w:val="20"/>
              </w:rPr>
            </w:pPr>
            <w:r>
              <w:rPr>
                <w:sz w:val="20"/>
              </w:rPr>
              <w:t>Amir Heshmatpour</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left"/>
              <w:rPr>
                <w:i/>
                <w:sz w:val="20"/>
              </w:rPr>
            </w:pPr>
            <w:r>
              <w:rPr>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pPr>
            <w:r>
              <w:rPr/>
              <w:t> </w:t>
            </w:r>
          </w:p>
        </w:tc>
      </w:tr>
      <w:tr>
        <w:trPr/>
        <w:tc>
          <w:tcPr>
            <w:tcW w:w="1805" w:type="dxa"/>
            <w:tcBorders>
              <w:bottom w:val="single" w:sz="8" w:space="0" w:color="000000"/>
            </w:tcBorders>
            <w:vAlign w:val="center"/>
          </w:tcPr>
          <w:p>
            <w:pPr>
              <w:pStyle w:val="TableContents"/>
              <w:bidi w:val="0"/>
              <w:spacing w:before="0" w:after="283"/>
              <w:jc w:val="left"/>
              <w:rPr>
                <w:sz w:val="20"/>
              </w:rPr>
            </w:pPr>
            <w:r>
              <w:rPr>
                <w:sz w:val="20"/>
              </w:rPr>
              <w:t>/s/ Keithly Garnett</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left"/>
              <w:rPr>
                <w:sz w:val="20"/>
              </w:rPr>
            </w:pPr>
            <w:r>
              <w:rPr>
                <w:sz w:val="20"/>
              </w:rPr>
              <w:t xml:space="preserve">Chief Financial Officer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sz w:val="20"/>
              </w:rPr>
            </w:pPr>
            <w:r>
              <w:rPr>
                <w:sz w:val="20"/>
              </w:rPr>
              <w:t>November 14, 2025</w:t>
            </w:r>
          </w:p>
        </w:tc>
      </w:tr>
      <w:tr>
        <w:trPr/>
        <w:tc>
          <w:tcPr>
            <w:tcW w:w="1805" w:type="dxa"/>
            <w:tcBorders/>
            <w:tcMar>
              <w:bottom w:w="0" w:type="dxa"/>
            </w:tcMar>
            <w:vAlign w:val="center"/>
          </w:tcPr>
          <w:p>
            <w:pPr>
              <w:pStyle w:val="TableContents"/>
              <w:bidi w:val="0"/>
              <w:spacing w:before="0" w:after="283"/>
              <w:jc w:val="left"/>
              <w:rPr>
                <w:sz w:val="20"/>
              </w:rPr>
            </w:pPr>
            <w:r>
              <w:rPr>
                <w:sz w:val="20"/>
              </w:rPr>
              <w:t>Keithly Garnett</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left"/>
              <w:rPr>
                <w:i/>
                <w:sz w:val="20"/>
              </w:rPr>
            </w:pPr>
            <w:r>
              <w:rPr>
                <w:i/>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caps w:val="false"/>
          <w:smallCaps w:val="false"/>
        </w:rPr>
      </w:pPr>
      <w:bookmarkStart w:id="586" w:name="neonctechnologies_ex31-1.htm"/>
      <w:bookmarkStart w:id="587" w:name="ksneonctechnologies_ex311"/>
      <w:bookmarkEnd w:id="586"/>
      <w:bookmarkEnd w:id="58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Amir Heshmatpour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September 30, 2025 of NeOnc Technologies Holdings,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120"/>
        <w:gridCol w:w="2360"/>
      </w:tblGrid>
      <w:tr>
        <w:trPr/>
        <w:tc>
          <w:tcPr>
            <w:tcW w:w="21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2025</w:t>
            </w:r>
          </w:p>
        </w:tc>
        <w:tc>
          <w:tcPr>
            <w:tcW w:w="236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Amir Heshmatpour</w:t>
            </w:r>
          </w:p>
        </w:tc>
      </w:tr>
      <w:tr>
        <w:trPr/>
        <w:tc>
          <w:tcPr>
            <w:tcW w:w="21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Heshmatpour</w:t>
            </w:r>
          </w:p>
        </w:tc>
      </w:tr>
      <w:tr>
        <w:trPr/>
        <w:tc>
          <w:tcPr>
            <w:tcW w:w="21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1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bookmarkStart w:id="588" w:name="neonctechnologies_ex31-2.htm"/>
      <w:bookmarkStart w:id="589" w:name="ksneonctechnologies_ex312"/>
      <w:bookmarkEnd w:id="588"/>
      <w:bookmarkEnd w:id="58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Keithly Garnett,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September 30, 2025 of NeOnc Technologies Holdings,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120"/>
        <w:gridCol w:w="3650"/>
      </w:tblGrid>
      <w:tr>
        <w:trPr/>
        <w:tc>
          <w:tcPr>
            <w:tcW w:w="21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2025</w:t>
            </w:r>
          </w:p>
        </w:tc>
        <w:tc>
          <w:tcPr>
            <w:tcW w:w="365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Keithly Garnett</w:t>
            </w:r>
          </w:p>
        </w:tc>
      </w:tr>
      <w:tr>
        <w:trPr/>
        <w:tc>
          <w:tcPr>
            <w:tcW w:w="21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Keithly Garnett</w:t>
            </w:r>
          </w:p>
        </w:tc>
      </w:tr>
      <w:tr>
        <w:trPr/>
        <w:tc>
          <w:tcPr>
            <w:tcW w:w="21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bookmarkStart w:id="590" w:name="neonctechnologies_ex32-1.htm"/>
      <w:bookmarkStart w:id="591" w:name="ksneonctechnologies_ex321"/>
      <w:bookmarkEnd w:id="590"/>
      <w:bookmarkEnd w:id="59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Amir Heshmatpour, Chief Executive Officer of NeOnc Technologies Holdings,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NeOnc Technologies Holdings, Inc. for the period ended September 30, 2025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such report fairly presents, in all material respects, the financial condition and results of operations of NeOnc Technologies Holdings, Inc.</w:t>
      </w:r>
    </w:p>
    <w:p>
      <w:pPr>
        <w:pStyle w:val="TextBody"/>
        <w:bidi w:val="0"/>
        <w:spacing w:before="0" w:after="0"/>
        <w:ind w:left="0" w:right="0" w:hanging="0"/>
        <w:jc w:val="both"/>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512"/>
        <w:gridCol w:w="1847"/>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Amir Heshmatpour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Heshmatpour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12"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2025</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bookmarkStart w:id="592" w:name="neonctechnologies_ex32-2.htm"/>
      <w:bookmarkStart w:id="593" w:name="ksneonctechnologies_ex322"/>
      <w:bookmarkEnd w:id="592"/>
      <w:bookmarkEnd w:id="59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Keithly Garnett, Chief Financial Officer of NeOnc Technologies Holdings,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NeOnc Technologies Holdings, Inc. for the period ended September 30, 2025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such report fairly presents, in all material respects, the financial condition and results of operations of NeOnc Technologies Holdings, Inc.</w:t>
      </w:r>
    </w:p>
    <w:p>
      <w:pPr>
        <w:pStyle w:val="TextBody"/>
        <w:bidi w:val="0"/>
        <w:spacing w:before="0" w:after="0"/>
        <w:ind w:left="0" w:right="0" w:hanging="0"/>
        <w:jc w:val="both"/>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792"/>
        <w:gridCol w:w="2857"/>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49"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Keithly Garnett</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4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Keithly Garnett</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4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64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92"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8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2025</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79414/000182912625002097/neonctechnologies_ex3-1.htm" TargetMode="External"/><Relationship Id="rId3" Type="http://schemas.openxmlformats.org/officeDocument/2006/relationships/hyperlink" Target="https://www.sec.gov/Archives/edgar/data/1979414/000182912625002097/neonctechnologies_ex3-2.htm" TargetMode="External"/><Relationship Id="rId4" Type="http://schemas.openxmlformats.org/officeDocument/2006/relationships/hyperlink" Target="https://www.sec.gov/Archives/edgar/data/1979414/000182912625000013/neonctechnologies_ex4-1.htm" TargetMode="External"/><Relationship Id="rId5" Type="http://schemas.openxmlformats.org/officeDocument/2006/relationships/hyperlink" Target="https://www.sec.gov/Archives/edgar/data/1979414/000182912625000013/neonctechnologies_ex4-2.htm" TargetMode="External"/><Relationship Id="rId6" Type="http://schemas.openxmlformats.org/officeDocument/2006/relationships/hyperlink" Target="https://www.sec.gov/Archives/edgar/data/1979414/000182912625000013/neonctechnologies_ex4-3.htm" TargetMode="External"/><Relationship Id="rId7" Type="http://schemas.openxmlformats.org/officeDocument/2006/relationships/hyperlink" Target="https://www.sec.gov/Archives/edgar/data/1979414/000182912625000013/neonctechnologies_ex4-4.htm" TargetMode="External"/><Relationship Id="rId8" Type="http://schemas.openxmlformats.org/officeDocument/2006/relationships/hyperlink" Target="https://www.sec.gov/Archives/edgar/data/1979414/000182912625001228/neonctechnologies_ex4-5.htm" TargetMode="External"/><Relationship Id="rId9" Type="http://schemas.openxmlformats.org/officeDocument/2006/relationships/hyperlink" Target="http://www.sec.gov/Archives/edgar/data/1979414/000182912625005280/neonctechnologies_ex4-1.htm" TargetMode="External"/><Relationship Id="rId10" Type="http://schemas.openxmlformats.org/officeDocument/2006/relationships/hyperlink" Target="https://www.sec.gov/Archives/edgar/data/1979414/000182912625005280/neonctechnologies_ex10-1.htm" TargetMode="External"/><Relationship Id="rId11" Type="http://schemas.openxmlformats.org/officeDocument/2006/relationships/hyperlink" Target="https://www.sec.gov/Archives/edgar/data/1979414/000182912625005605/neonctechnologies_ex10-1.htm" TargetMode="External"/><Relationship Id="rId12" Type="http://schemas.openxmlformats.org/officeDocument/2006/relationships/hyperlink" Target="https://www.sec.gov/Archives/edgar/data/1979414/000182912625005708/neonctechnologies_ex10-1.htm" TargetMode="External"/><Relationship Id="rId13" Type="http://schemas.openxmlformats.org/officeDocument/2006/relationships/hyperlink" Target="https://www.sec.gov/Archives/edgar/data/1979414/000182912625006673/neonctechnologies_ex10-1.htm" TargetMode="External"/><Relationship Id="rId14" Type="http://schemas.openxmlformats.org/officeDocument/2006/relationships/hyperlink" Target="https://www.sec.gov/Archives/edgar/data/1979414/000182912625007973/neonctechnologies_ex10-1.htm" TargetMode="External"/><Relationship Id="rId15" Type="http://schemas.openxmlformats.org/officeDocument/2006/relationships/hyperlink" Target="https://www.sec.gov/Archives/edgar/data/1979414/000182912625008902/neonctechnologies_ex10-1.htm" TargetMode="External"/><Relationship Id="rId16" Type="http://schemas.openxmlformats.org/officeDocument/2006/relationships/hyperlink" Target="https://www.sec.gov/Archives/edgar/data/1979414/000182912625008902/neonctechnologies_ex10-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20377</Words>
  <Characters>112140</Characters>
  <CharactersWithSpaces>133631</CharactersWithSpaces>
  <Paragraphs>4802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