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neonctechnologies_8k.htm"/>
      <w:bookmarkStart w:id="1" w:name="ksneonctechnologies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C_edei--DocumentType_c20260814__20"/>
      <w:bookmarkEnd w:id="2"/>
      <w:r>
        <w:rPr>
          <w:rFonts w:ascii="Times New Roman;Times;Serif" w:hAnsi="Times New Roman;Times;Serif"/>
          <w:b/>
          <w:i w:val="false"/>
          <w:caps w:val="false"/>
          <w:smallCaps w:val="false"/>
          <w:sz w:val="28"/>
        </w:rPr>
        <w:t>8-K</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jc w:val="center"/>
        <w:rPr>
          <w:rFonts w:ascii="Times New Roman;Times;Serif" w:hAnsi="Times New Roman;Times;Serif"/>
          <w:b w:val="false"/>
          <w:i w:val="false"/>
          <w:caps w:val="false"/>
          <w:smallCaps w:val="false"/>
          <w:sz w:val="20"/>
        </w:rPr>
      </w:pPr>
      <w:bookmarkStart w:id="3" w:name="xdx_90E_edei--DocumentPeriodEndDate_c202"/>
      <w:bookmarkEnd w:id="3"/>
      <w:r>
        <w:rPr>
          <w:rFonts w:ascii="Times New Roman;Times;Serif" w:hAnsi="Times New Roman;Times;Serif"/>
          <w:b w:val="false"/>
          <w:i w:val="false"/>
          <w:caps w:val="false"/>
          <w:smallCaps w:val="false"/>
          <w:sz w:val="20"/>
        </w:rPr>
        <w:t>August 14, 2026</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u w:val="single"/>
        </w:rPr>
      </w:pPr>
      <w:bookmarkStart w:id="4" w:name="xdx_903_edei--EntityRegistrantName_c2026"/>
      <w:bookmarkEnd w:id="4"/>
      <w:r>
        <w:rPr>
          <w:rFonts w:ascii="Times New Roman;Times;Serif" w:hAnsi="Times New Roman;Times;Serif"/>
          <w:b/>
          <w:i w:val="false"/>
          <w:caps w:val="false"/>
          <w:smallCaps w:val="false"/>
          <w:sz w:val="28"/>
          <w:u w:val="single"/>
        </w:rPr>
        <w:t>NEONC TECHNOLOGIES HOLDINGS,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5" w:name="xdx_905_edei--EntityIncorporationStateCo"/>
      <w:bookmarkEnd w:id="5"/>
      <w:r>
        <w:rPr>
          <w:rFonts w:ascii="Times New Roman;Times;Serif" w:hAnsi="Times New Roman;Times;Serif"/>
          <w:b/>
          <w:i w:val="false"/>
          <w:caps w:val="false"/>
          <w:smallCaps w:val="false"/>
          <w:sz w:val="20"/>
        </w:rPr>
        <w:t>Delaware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jc w:val="left"/>
        <w:rPr>
          <w:caps w:val="false"/>
          <w:smallCaps w:val="false"/>
        </w:rPr>
      </w:pPr>
      <w:r>
        <w:rPr>
          <w:caps w:val="false"/>
          <w:smallCaps w:val="false"/>
        </w:rPr>
        <w:t> </w:t>
      </w:r>
    </w:p>
    <w:tbl>
      <w:tblPr>
        <w:tblW w:w="5035" w:type="dxa"/>
        <w:jc w:val="left"/>
        <w:tblInd w:w="0" w:type="dxa"/>
        <w:tblLayout w:type="fixed"/>
        <w:tblCellMar>
          <w:top w:w="0" w:type="dxa"/>
          <w:left w:w="0" w:type="dxa"/>
          <w:bottom w:w="28" w:type="dxa"/>
          <w:right w:w="0" w:type="dxa"/>
        </w:tblCellMar>
      </w:tblPr>
      <w:tblGrid>
        <w:gridCol w:w="2210"/>
        <w:gridCol w:w="60"/>
        <w:gridCol w:w="2765"/>
      </w:tblGrid>
      <w:tr>
        <w:trPr/>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6_edei--EntityFileNumber_c20260814"/>
            <w:bookmarkEnd w:id="6"/>
            <w:r>
              <w:rPr>
                <w:rFonts w:ascii="Times New Roman;Times;Serif" w:hAnsi="Times New Roman;Times;Serif"/>
                <w:b/>
                <w:i w:val="false"/>
                <w:caps w:val="false"/>
                <w:smallCaps w:val="false"/>
                <w:sz w:val="20"/>
              </w:rPr>
              <w:t xml:space="preserve">001-42567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7_edei--EntityTaxIdentificationNum"/>
            <w:bookmarkEnd w:id="7"/>
            <w:r>
              <w:rPr>
                <w:rFonts w:ascii="Times New Roman;Times;Serif" w:hAnsi="Times New Roman;Times;Serif"/>
                <w:b/>
                <w:i w:val="false"/>
                <w:caps w:val="false"/>
                <w:smallCaps w:val="false"/>
                <w:sz w:val="20"/>
              </w:rPr>
              <w:t>92-1954864</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jc w:val="left"/>
        <w:rPr>
          <w:caps w:val="false"/>
          <w:smallCaps w:val="false"/>
        </w:rPr>
      </w:pPr>
      <w:r>
        <w:rPr>
          <w:caps w:val="false"/>
          <w:smallCaps w:val="false"/>
        </w:rPr>
        <w:t> </w:t>
      </w:r>
    </w:p>
    <w:tbl>
      <w:tblPr>
        <w:tblW w:w="4960" w:type="dxa"/>
        <w:jc w:val="left"/>
        <w:tblInd w:w="0" w:type="dxa"/>
        <w:tblLayout w:type="fixed"/>
        <w:tblCellMar>
          <w:top w:w="0" w:type="dxa"/>
          <w:left w:w="0" w:type="dxa"/>
          <w:bottom w:w="28" w:type="dxa"/>
          <w:right w:w="0" w:type="dxa"/>
        </w:tblCellMar>
      </w:tblPr>
      <w:tblGrid>
        <w:gridCol w:w="3995"/>
        <w:gridCol w:w="60"/>
        <w:gridCol w:w="905"/>
      </w:tblGrid>
      <w:tr>
        <w:trPr/>
        <w:tc>
          <w:tcPr>
            <w:tcW w:w="39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 xml:space="preserve">23975 Park Sorrento, </w:t>
            </w:r>
            <w:bookmarkStart w:id="9" w:name="xdx_904_edei--EntityAddressAddressLine2_"/>
            <w:bookmarkEnd w:id="9"/>
            <w:r>
              <w:rPr>
                <w:rFonts w:ascii="Times New Roman;Times;Serif" w:hAnsi="Times New Roman;Times;Serif"/>
                <w:b/>
                <w:i w:val="false"/>
                <w:caps w:val="false"/>
                <w:smallCaps w:val="false"/>
                <w:sz w:val="20"/>
              </w:rPr>
              <w:t xml:space="preserve">Suite 205 </w:t>
            </w:r>
            <w:bookmarkStart w:id="10" w:name="xdx_90F_edei--EntityAddressCityOrTown_c2"/>
            <w:bookmarkEnd w:id="10"/>
            <w:r>
              <w:rPr>
                <w:rFonts w:ascii="Times New Roman;Times;Serif" w:hAnsi="Times New Roman;Times;Serif"/>
                <w:b/>
                <w:i w:val="false"/>
                <w:caps w:val="false"/>
                <w:smallCaps w:val="false"/>
                <w:sz w:val="20"/>
              </w:rPr>
              <w:t xml:space="preserve">Calabasas, </w:t>
            </w:r>
            <w:bookmarkStart w:id="11" w:name="xdx_901_edei--EntityAddressStateOrProvin"/>
            <w:bookmarkEnd w:id="11"/>
            <w:r>
              <w:rPr>
                <w:rFonts w:ascii="Times New Roman;Times;Serif" w:hAnsi="Times New Roman;Times;Serif"/>
                <w:b/>
                <w:i w:val="false"/>
                <w:caps w:val="false"/>
                <w:smallCaps w:val="false"/>
                <w:sz w:val="20"/>
              </w:rPr>
              <w:t xml:space="preserve">CA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3_edei--EntityAddressPostalZipCode"/>
            <w:bookmarkEnd w:id="12"/>
            <w:r>
              <w:rPr>
                <w:rFonts w:ascii="Times New Roman;Times;Serif" w:hAnsi="Times New Roman;Times;Serif"/>
                <w:b/>
                <w:i w:val="false"/>
                <w:caps w:val="false"/>
                <w:smallCaps w:val="false"/>
                <w:sz w:val="20"/>
              </w:rPr>
              <w:t>91302</w:t>
            </w:r>
          </w:p>
        </w:tc>
      </w:tr>
      <w:tr>
        <w:trPr/>
        <w:tc>
          <w:tcPr>
            <w:tcW w:w="3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4_edei--CityAreaCode_c20260814__20"/>
      <w:bookmarkEnd w:id="13"/>
      <w:r>
        <w:rPr>
          <w:rFonts w:ascii="Times New Roman;Times;Serif" w:hAnsi="Times New Roman;Times;Serif"/>
          <w:b/>
          <w:i w:val="false"/>
          <w:caps w:val="false"/>
          <w:smallCaps w:val="false"/>
          <w:sz w:val="20"/>
        </w:rPr>
        <w:t xml:space="preserve">818) </w:t>
      </w:r>
      <w:bookmarkStart w:id="14" w:name="xdx_90E_edei--LocalPhoneNumber_c20260814"/>
      <w:bookmarkEnd w:id="14"/>
      <w:r>
        <w:rPr>
          <w:rFonts w:ascii="Times New Roman;Times;Serif" w:hAnsi="Times New Roman;Times;Serif"/>
          <w:b/>
          <w:i w:val="false"/>
          <w:caps w:val="false"/>
          <w:smallCaps w:val="false"/>
          <w:sz w:val="20"/>
        </w:rPr>
        <w:t>570-6844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5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5_edei--SolicitingMaterial_c202608"/>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0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4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left"/>
        <w:rPr>
          <w:caps w:val="false"/>
          <w:smallCaps w:val="false"/>
        </w:rPr>
      </w:pPr>
      <w:r>
        <w:rPr>
          <w:caps w:val="false"/>
          <w:smallCaps w:val="false"/>
        </w:rPr>
        <w:t> </w:t>
      </w:r>
    </w:p>
    <w:tbl>
      <w:tblPr>
        <w:tblW w:w="8145" w:type="dxa"/>
        <w:jc w:val="left"/>
        <w:tblInd w:w="0" w:type="dxa"/>
        <w:tblLayout w:type="fixed"/>
        <w:tblCellMar>
          <w:top w:w="0" w:type="dxa"/>
          <w:left w:w="0" w:type="dxa"/>
          <w:bottom w:w="28" w:type="dxa"/>
          <w:right w:w="0" w:type="dxa"/>
        </w:tblCellMar>
      </w:tblPr>
      <w:tblGrid>
        <w:gridCol w:w="2840"/>
        <w:gridCol w:w="60"/>
        <w:gridCol w:w="1490"/>
        <w:gridCol w:w="60"/>
        <w:gridCol w:w="3695"/>
      </w:tblGrid>
      <w:tr>
        <w:trPr/>
        <w:tc>
          <w:tcPr>
            <w:tcW w:w="28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6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8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0_edei--Security12bTitle_c20260814"/>
            <w:bookmarkEnd w:id="19"/>
            <w:r>
              <w:rPr>
                <w:rFonts w:ascii="Times New Roman;Times;Serif" w:hAnsi="Times New Roman;Times;Serif"/>
                <w:b w:val="false"/>
                <w:i w:val="false"/>
                <w:caps w:val="false"/>
                <w:smallCaps w:val="false"/>
                <w:sz w:val="20"/>
              </w:rPr>
              <w:t>Common Stock, par value $0.0001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4_edei--TradingSymbol_c20260814__2"/>
            <w:bookmarkEnd w:id="20"/>
            <w:r>
              <w:rPr>
                <w:rFonts w:ascii="Times New Roman;Times;Serif" w:hAnsi="Times New Roman;Times;Serif"/>
                <w:b w:val="false"/>
                <w:i w:val="false"/>
                <w:caps w:val="false"/>
                <w:smallCaps w:val="false"/>
                <w:sz w:val="20"/>
              </w:rPr>
              <w:t>NTHI</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F_edei--SecurityExchangeName_c2026"/>
            <w:bookmarkEnd w:id="21"/>
            <w:r>
              <w:rPr>
                <w:rFonts w:ascii="Times New Roman;Times;Serif" w:hAnsi="Times New Roman;Times;Serif"/>
                <w:b w:val="false"/>
                <w:i w:val="false"/>
                <w:caps w:val="false"/>
                <w:smallCaps w:val="false"/>
                <w:sz w:val="20"/>
              </w:rPr>
              <w:t>Nasdaq Stock Market LLC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9_edei--EntityEmergingGrowthCompan"/>
      <w:bookmarkEnd w:id="22"/>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4_edei--EntityExTransitionPeriod_c"/>
      <w:bookmarkEnd w:id="23"/>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pPr>
      <w:r>
        <w:rPr/>
        <w:t> </w:t>
      </w:r>
    </w:p>
    <w:p>
      <w:pPr>
        <w:pStyle w:val="TextBody"/>
        <w:bidi w:val="0"/>
        <w:spacing w:before="0" w:after="0"/>
        <w:jc w:val="both"/>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875"/>
        <w:gridCol w:w="4430"/>
      </w:tblGrid>
      <w:tr>
        <w:trPr/>
        <w:tc>
          <w:tcPr>
            <w:tcW w:w="875" w:type="dxa"/>
            <w:tcBorders/>
            <w:vAlign w:val="center"/>
          </w:tcPr>
          <w:p>
            <w:pPr>
              <w:pStyle w:val="TableContents"/>
              <w:bidi w:val="0"/>
              <w:spacing w:before="0" w:after="283"/>
              <w:jc w:val="both"/>
              <w:rPr>
                <w:b/>
                <w:sz w:val="20"/>
              </w:rPr>
            </w:pPr>
            <w:r>
              <w:rPr>
                <w:b/>
                <w:sz w:val="20"/>
              </w:rPr>
              <w:t>Item 5.07.</w:t>
            </w:r>
          </w:p>
        </w:tc>
        <w:tc>
          <w:tcPr>
            <w:tcW w:w="4430" w:type="dxa"/>
            <w:tcBorders/>
            <w:vAlign w:val="center"/>
          </w:tcPr>
          <w:p>
            <w:pPr>
              <w:pStyle w:val="TableContents"/>
              <w:bidi w:val="0"/>
              <w:spacing w:before="0" w:after="283"/>
              <w:jc w:val="both"/>
              <w:rPr>
                <w:b/>
                <w:sz w:val="20"/>
              </w:rPr>
            </w:pPr>
            <w:r>
              <w:rPr>
                <w:b/>
                <w:sz w:val="20"/>
              </w:rPr>
              <w:t>Submission of Matters to a Vote of Security 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NeOnc Technologies Holdings, Inc. (the “Company”) held its 2026 annual meeting of stockholders on August 14, 2026 (the “Annual Meeting”) via live webcast. For more information about the proposals set forth below, please see the Company’s definitive Proxy Statement filed with the Securities and Exchange Commission on June 23,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shares of the Company’s common stock, par value $0.0001 per share (the “Common Stock”), as of the close of business on June 15, 2026, were entitled to notice of, and to vote at, the Annual Meeting. As of such date, 25,931,865 shares of Common Stock were outstanding and entitled to vote. Each share of Common Stock was entitled to one (1) vote per share. Present in person or by proxy at the Annual Meeting were 20,208,635 shares of Common Stock, or 77.92% of the Common Stock entitled to vote, constituting a quorum pursuant to the Company’s Amended and Restated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the final votes on the proposals presented to stockholders for approval at the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Proposal 1</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Company’s stockholders elected two Class I directors to serve for a three-year term ending as of the Company’s annual meeting in 2029. The votes were as follows:</w:t>
      </w:r>
    </w:p>
    <w:p>
      <w:pPr>
        <w:pStyle w:val="TextBody"/>
        <w:bidi w:val="0"/>
        <w:spacing w:before="0" w:after="0"/>
        <w:ind w:left="0" w:right="0" w:firstLine="720"/>
        <w:jc w:val="both"/>
        <w:rPr>
          <w:caps w:val="false"/>
          <w:smallCaps w:val="false"/>
        </w:rPr>
      </w:pPr>
      <w:r>
        <w:rPr>
          <w:caps w:val="false"/>
          <w:smallCaps w:val="false"/>
        </w:rPr>
        <w:t> </w:t>
      </w:r>
    </w:p>
    <w:tbl>
      <w:tblPr>
        <w:tblW w:w="5870" w:type="dxa"/>
        <w:jc w:val="left"/>
        <w:tblInd w:w="-10" w:type="dxa"/>
        <w:tblLayout w:type="fixed"/>
        <w:tblCellMar>
          <w:top w:w="28" w:type="dxa"/>
          <w:left w:w="28" w:type="dxa"/>
          <w:bottom w:w="28" w:type="dxa"/>
          <w:right w:w="28" w:type="dxa"/>
        </w:tblCellMar>
      </w:tblPr>
      <w:tblGrid>
        <w:gridCol w:w="2240"/>
        <w:gridCol w:w="1040"/>
        <w:gridCol w:w="935"/>
        <w:gridCol w:w="1655"/>
      </w:tblGrid>
      <w:tr>
        <w:trPr/>
        <w:tc>
          <w:tcPr>
            <w:tcW w:w="22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Director Nominee</w:t>
            </w:r>
          </w:p>
        </w:tc>
        <w:tc>
          <w:tcPr>
            <w:tcW w:w="10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For</w:t>
            </w:r>
          </w:p>
        </w:tc>
        <w:tc>
          <w:tcPr>
            <w:tcW w:w="9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Withhold</w:t>
            </w:r>
          </w:p>
        </w:tc>
        <w:tc>
          <w:tcPr>
            <w:tcW w:w="16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Broker Non-Votes</w:t>
            </w:r>
          </w:p>
        </w:tc>
      </w:tr>
      <w:tr>
        <w:trPr/>
        <w:tc>
          <w:tcPr>
            <w:tcW w:w="22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Victoria Medvec, Ph.D.</w:t>
            </w:r>
          </w:p>
        </w:tc>
        <w:tc>
          <w:tcPr>
            <w:tcW w:w="10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16,962,981</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1,882,373</w:t>
            </w:r>
          </w:p>
        </w:tc>
        <w:tc>
          <w:tcPr>
            <w:tcW w:w="16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1,363,281</w:t>
            </w:r>
          </w:p>
        </w:tc>
      </w:tr>
      <w:tr>
        <w:trPr/>
        <w:tc>
          <w:tcPr>
            <w:tcW w:w="22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Steven L. Giannotta, M.D.</w:t>
            </w:r>
          </w:p>
        </w:tc>
        <w:tc>
          <w:tcPr>
            <w:tcW w:w="10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16,949,334</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1,896,020</w:t>
            </w:r>
          </w:p>
        </w:tc>
        <w:tc>
          <w:tcPr>
            <w:tcW w:w="16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1,363,281</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Proposal 2</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Company’s stockholders approved amendment of the Company’s 2023 Equity Incentive Plan, as amended. The votes on this proposal were as follows:</w:t>
      </w:r>
    </w:p>
    <w:p>
      <w:pPr>
        <w:pStyle w:val="TextBody"/>
        <w:bidi w:val="0"/>
        <w:spacing w:before="0" w:after="0"/>
        <w:ind w:left="0" w:right="0" w:firstLine="720"/>
        <w:jc w:val="both"/>
        <w:rPr>
          <w:caps w:val="false"/>
          <w:smallCaps w:val="false"/>
        </w:rPr>
      </w:pPr>
      <w:r>
        <w:rPr>
          <w:caps w:val="false"/>
          <w:smallCaps w:val="false"/>
        </w:rPr>
        <w:t> </w:t>
      </w:r>
    </w:p>
    <w:tbl>
      <w:tblPr>
        <w:tblW w:w="4430" w:type="dxa"/>
        <w:jc w:val="left"/>
        <w:tblInd w:w="-10" w:type="dxa"/>
        <w:tblLayout w:type="fixed"/>
        <w:tblCellMar>
          <w:top w:w="28" w:type="dxa"/>
          <w:left w:w="28" w:type="dxa"/>
          <w:bottom w:w="28" w:type="dxa"/>
          <w:right w:w="28" w:type="dxa"/>
        </w:tblCellMar>
      </w:tblPr>
      <w:tblGrid>
        <w:gridCol w:w="1055"/>
        <w:gridCol w:w="935"/>
        <w:gridCol w:w="785"/>
        <w:gridCol w:w="1655"/>
      </w:tblGrid>
      <w:tr>
        <w:trPr/>
        <w:tc>
          <w:tcPr>
            <w:tcW w:w="10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For</w:t>
            </w:r>
          </w:p>
        </w:tc>
        <w:tc>
          <w:tcPr>
            <w:tcW w:w="9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Against</w:t>
            </w:r>
          </w:p>
        </w:tc>
        <w:tc>
          <w:tcPr>
            <w:tcW w:w="78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Abstain</w:t>
            </w:r>
          </w:p>
        </w:tc>
        <w:tc>
          <w:tcPr>
            <w:tcW w:w="16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Broker Non-Votes</w:t>
            </w:r>
          </w:p>
        </w:tc>
      </w:tr>
      <w:tr>
        <w:trPr/>
        <w:tc>
          <w:tcPr>
            <w:tcW w:w="1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15,262,133</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3,044,469</w:t>
            </w:r>
          </w:p>
        </w:tc>
        <w:tc>
          <w:tcPr>
            <w:tcW w:w="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538,752</w:t>
            </w:r>
          </w:p>
        </w:tc>
        <w:tc>
          <w:tcPr>
            <w:tcW w:w="16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1,363,281</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Proposal 3</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Company’s stockholders ratified the appointment of CBIZ CPAs P.C. as the Company’s independent registered public accounting firm for the fiscal year ending December 31, 2026. The votes on this proposal were as follows:</w:t>
      </w:r>
    </w:p>
    <w:p>
      <w:pPr>
        <w:pStyle w:val="TextBody"/>
        <w:bidi w:val="0"/>
        <w:spacing w:before="0" w:after="0"/>
        <w:ind w:left="0" w:right="0" w:firstLine="720"/>
        <w:jc w:val="both"/>
        <w:rPr>
          <w:caps w:val="false"/>
          <w:smallCaps w:val="false"/>
        </w:rPr>
      </w:pPr>
      <w:r>
        <w:rPr>
          <w:caps w:val="false"/>
          <w:smallCaps w:val="false"/>
        </w:rPr>
        <w:t> </w:t>
      </w:r>
    </w:p>
    <w:tbl>
      <w:tblPr>
        <w:tblW w:w="4220" w:type="dxa"/>
        <w:jc w:val="left"/>
        <w:tblInd w:w="-10" w:type="dxa"/>
        <w:tblLayout w:type="fixed"/>
        <w:tblCellMar>
          <w:top w:w="28" w:type="dxa"/>
          <w:left w:w="28" w:type="dxa"/>
          <w:bottom w:w="28" w:type="dxa"/>
          <w:right w:w="28" w:type="dxa"/>
        </w:tblCellMar>
      </w:tblPr>
      <w:tblGrid>
        <w:gridCol w:w="1055"/>
        <w:gridCol w:w="755"/>
        <w:gridCol w:w="755"/>
        <w:gridCol w:w="1655"/>
      </w:tblGrid>
      <w:tr>
        <w:trPr/>
        <w:tc>
          <w:tcPr>
            <w:tcW w:w="10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For</w:t>
            </w:r>
          </w:p>
        </w:tc>
        <w:tc>
          <w:tcPr>
            <w:tcW w:w="7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Against</w:t>
            </w:r>
          </w:p>
        </w:tc>
        <w:tc>
          <w:tcPr>
            <w:tcW w:w="7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Abstain</w:t>
            </w:r>
          </w:p>
        </w:tc>
        <w:tc>
          <w:tcPr>
            <w:tcW w:w="16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Broker Non-Votes</w:t>
            </w:r>
          </w:p>
        </w:tc>
      </w:tr>
      <w:tr>
        <w:trPr/>
        <w:tc>
          <w:tcPr>
            <w:tcW w:w="1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20,191,009</w:t>
            </w:r>
          </w:p>
        </w:tc>
        <w:tc>
          <w:tcPr>
            <w:tcW w:w="7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9,176</w:t>
            </w:r>
          </w:p>
        </w:tc>
        <w:tc>
          <w:tcPr>
            <w:tcW w:w="7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8,450</w:t>
            </w:r>
          </w:p>
        </w:tc>
        <w:tc>
          <w:tcPr>
            <w:tcW w:w="16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Proposal 4</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Company’s stockholders approved adjournment of the Annual Meeting if necessary to obtain a quorum or seek approval of one or more proposals. The votes on this proposal were as follows:</w:t>
      </w:r>
    </w:p>
    <w:p>
      <w:pPr>
        <w:pStyle w:val="TextBody"/>
        <w:bidi w:val="0"/>
        <w:spacing w:before="0" w:after="0"/>
        <w:ind w:left="0" w:right="0" w:firstLine="720"/>
        <w:jc w:val="both"/>
        <w:rPr>
          <w:caps w:val="false"/>
          <w:smallCaps w:val="false"/>
        </w:rPr>
      </w:pPr>
      <w:r>
        <w:rPr>
          <w:caps w:val="false"/>
          <w:smallCaps w:val="false"/>
        </w:rPr>
        <w:t> </w:t>
      </w:r>
    </w:p>
    <w:tbl>
      <w:tblPr>
        <w:tblW w:w="4400" w:type="dxa"/>
        <w:jc w:val="left"/>
        <w:tblInd w:w="-10" w:type="dxa"/>
        <w:tblLayout w:type="fixed"/>
        <w:tblCellMar>
          <w:top w:w="28" w:type="dxa"/>
          <w:left w:w="28" w:type="dxa"/>
          <w:bottom w:w="28" w:type="dxa"/>
          <w:right w:w="28" w:type="dxa"/>
        </w:tblCellMar>
      </w:tblPr>
      <w:tblGrid>
        <w:gridCol w:w="1055"/>
        <w:gridCol w:w="935"/>
        <w:gridCol w:w="755"/>
        <w:gridCol w:w="1655"/>
      </w:tblGrid>
      <w:tr>
        <w:trPr/>
        <w:tc>
          <w:tcPr>
            <w:tcW w:w="10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For</w:t>
            </w:r>
          </w:p>
        </w:tc>
        <w:tc>
          <w:tcPr>
            <w:tcW w:w="9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Against</w:t>
            </w:r>
          </w:p>
        </w:tc>
        <w:tc>
          <w:tcPr>
            <w:tcW w:w="7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Abstain</w:t>
            </w:r>
          </w:p>
        </w:tc>
        <w:tc>
          <w:tcPr>
            <w:tcW w:w="16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Broker Non-Votes</w:t>
            </w:r>
          </w:p>
        </w:tc>
      </w:tr>
      <w:tr>
        <w:trPr/>
        <w:tc>
          <w:tcPr>
            <w:tcW w:w="1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17,062,559</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3,112,671</w:t>
            </w:r>
          </w:p>
        </w:tc>
        <w:tc>
          <w:tcPr>
            <w:tcW w:w="7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33,405</w:t>
            </w:r>
          </w:p>
        </w:tc>
        <w:tc>
          <w:tcPr>
            <w:tcW w:w="16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center"/>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8990" w:type="dxa"/>
        <w:jc w:val="left"/>
        <w:tblInd w:w="0" w:type="dxa"/>
        <w:tblLayout w:type="fixed"/>
        <w:tblCellMar>
          <w:top w:w="0" w:type="dxa"/>
          <w:left w:w="0" w:type="dxa"/>
          <w:bottom w:w="0" w:type="dxa"/>
          <w:right w:w="0" w:type="dxa"/>
        </w:tblCellMar>
      </w:tblPr>
      <w:tblGrid>
        <w:gridCol w:w="2300"/>
        <w:gridCol w:w="365"/>
        <w:gridCol w:w="650"/>
        <w:gridCol w:w="5675"/>
      </w:tblGrid>
      <w:tr>
        <w:trPr/>
        <w:tc>
          <w:tcPr>
            <w:tcW w:w="2300" w:type="dxa"/>
            <w:tcBorders/>
            <w:vAlign w:val="center"/>
          </w:tcPr>
          <w:p>
            <w:pPr>
              <w:pStyle w:val="TableContents"/>
              <w:bidi w:val="0"/>
              <w:spacing w:before="0" w:after="283"/>
              <w:jc w:val="left"/>
              <w:rPr/>
            </w:pPr>
            <w:r>
              <w:rPr/>
              <w:t>Dated: August 20, 2026</w:t>
            </w:r>
          </w:p>
        </w:tc>
        <w:tc>
          <w:tcPr>
            <w:tcW w:w="6690" w:type="dxa"/>
            <w:gridSpan w:val="3"/>
            <w:tcBorders/>
            <w:vAlign w:val="center"/>
          </w:tcPr>
          <w:p>
            <w:pPr>
              <w:pStyle w:val="TableContents"/>
              <w:bidi w:val="0"/>
              <w:spacing w:before="0" w:after="283"/>
              <w:jc w:val="left"/>
              <w:rPr>
                <w:b/>
              </w:rPr>
            </w:pPr>
            <w:r>
              <w:rPr>
                <w:b/>
              </w:rPr>
              <w:t>NeOnc Technologies Holdings, Inc.</w:t>
            </w:r>
          </w:p>
        </w:tc>
      </w:tr>
      <w:tr>
        <w:trPr/>
        <w:tc>
          <w:tcPr>
            <w:tcW w:w="23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325" w:type="dxa"/>
            <w:gridSpan w:val="2"/>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325" w:type="dxa"/>
            <w:gridSpan w:val="2"/>
            <w:tcBorders>
              <w:bottom w:val="single" w:sz="8" w:space="0" w:color="000000"/>
            </w:tcBorders>
            <w:tcMar>
              <w:bottom w:w="28" w:type="dxa"/>
            </w:tcMar>
            <w:vAlign w:val="center"/>
          </w:tcPr>
          <w:p>
            <w:pPr>
              <w:pStyle w:val="TableContents"/>
              <w:bidi w:val="0"/>
              <w:spacing w:before="0" w:after="283"/>
              <w:jc w:val="left"/>
              <w:rPr/>
            </w:pPr>
            <w:r>
              <w:rPr/>
              <w:t>/s/ Amir Heshmatpour</w:t>
            </w:r>
          </w:p>
        </w:tc>
      </w:tr>
      <w:tr>
        <w:trPr/>
        <w:tc>
          <w:tcPr>
            <w:tcW w:w="23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5675" w:type="dxa"/>
            <w:tcBorders/>
            <w:vAlign w:val="center"/>
          </w:tcPr>
          <w:p>
            <w:pPr>
              <w:pStyle w:val="TableContents"/>
              <w:bidi w:val="0"/>
              <w:spacing w:before="0" w:after="283"/>
              <w:jc w:val="left"/>
              <w:rPr/>
            </w:pPr>
            <w:r>
              <w:rPr/>
              <w:t xml:space="preserve">Amir Heshmatpour </w:t>
            </w:r>
          </w:p>
        </w:tc>
      </w:tr>
      <w:tr>
        <w:trPr/>
        <w:tc>
          <w:tcPr>
            <w:tcW w:w="23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5675" w:type="dxa"/>
            <w:tcBorders/>
            <w:vAlign w:val="center"/>
          </w:tcPr>
          <w:p>
            <w:pPr>
              <w:pStyle w:val="TableContents"/>
              <w:bidi w:val="0"/>
              <w:spacing w:before="0" w:after="283"/>
              <w:jc w:val="left"/>
              <w:rPr/>
            </w:pPr>
            <w:r>
              <w:rPr/>
              <w:t>Chief Executive Officer, President and Executive Chairman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709</Words>
  <Characters>3881</Characters>
  <CharactersWithSpaces>4556</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