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333-296788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555,554 shares of Common Stock</w:t>
      </w:r>
    </w:p>
    <w:p>
      <w:pPr>
        <w:spacing w:after="0" w:line="21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 named herein (the “Selling Stockholder”), or its respective transferees, pledgees, donees or other successors-in-interest, from time to time, of up to 555,554 of our shares (the “Shares”) of common stock, par value $0.0001 (“Common Stock”) of NeOnc Technologies Holdings, Inc., a Delaware corporation (the “Company”) consisting of (i) 277,777 shares of Common Stock and (ii) 277,777 shares of Common Stock issuable upon exercise of a warrant (“Warrant”). We are registering the Shares on behalf of the Selling Stockholder, to be offered and sold from time to time, to satisfy certain registration rights that we have granted to the Selling Stockholder.</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2026, the Company entered into a securities purchase agreement with the Selling Stockholder, pursuant to which the Company issued the Selling Stockholder 277,777 shares of Common Stock and a Warrant to purchase 277,777 shares of Common Stock. See “</w:t>
      </w:r>
      <w:r>
        <w:rPr>
          <w:rFonts w:ascii="Times New Roman" w:cs="Times New Roman" w:eastAsia="Times New Roman" w:hAnsi="Times New Roman"/>
          <w:sz w:val="18"/>
          <w:szCs w:val="18"/>
          <w:i w:val="1"/>
          <w:iCs w:val="1"/>
          <w:color w:val="auto"/>
        </w:rPr>
        <w:t>Description of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Placement</w:t>
      </w:r>
      <w:r>
        <w:rPr>
          <w:rFonts w:ascii="Times New Roman" w:cs="Times New Roman" w:eastAsia="Times New Roman" w:hAnsi="Times New Roman"/>
          <w:sz w:val="18"/>
          <w:szCs w:val="18"/>
          <w:color w:val="auto"/>
        </w:rPr>
        <w:t>”, and the section titled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for additional information regarding the Selling Stockholder.</w:t>
      </w:r>
    </w:p>
    <w:p>
      <w:pPr>
        <w:spacing w:after="0" w:line="1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resell or dispose of the Shares, or interests therein, at fixed prices, at prevailing market prices at the time of sale or at prices negotiated with purchasers, to or through underwriters, broker-dealers, agents, or through any other means described under the heading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beginning on page 17 of this prospectus. The Selling Stockholder will bear its respective commissions and discounts, if any,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or disposition of the Shares, or interests therein, held by the Selling Stockholder. We will bear all costs, expenses and fees in connection with the registration of the Shares.</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“NTHI.” On June 12, 2026, the last reported sale price for our Common Stock on the Nasdaq Global Market was $4.75 per share.</w:t>
      </w:r>
    </w:p>
    <w:p>
      <w:pPr>
        <w:spacing w:after="0" w:line="15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5 of this prospectus, contained in the applicable prospectus and prospectus supplement and in any related free writing prospectus, and under similar headings in the other documents that are incorporated by reference into this prospectus or any prospectus supplement before making a decision to purchase our securities.</w:t>
      </w:r>
    </w:p>
    <w:p>
      <w:pPr>
        <w:spacing w:after="0" w:line="17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4280" w:type="dxa"/>
            <w:vAlign w:val="bottom"/>
            <w:gridSpan w:val="1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59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740" w:type="dxa"/>
            <w:vAlign w:val="bottom"/>
            <w:tcBorders>
              <w:bottom w:val="single" w:sz="8" w:color="CCEEFF"/>
            </w:tcBorders>
            <w:gridSpan w:val="6"/>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tcBorders>
              <w:bottom w:val="single" w:sz="8" w:color="CCEEFF"/>
            </w:tcBorders>
            <w:gridSpan w:val="11"/>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28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720" w:type="dxa"/>
            <w:vAlign w:val="bottom"/>
            <w:tcBorders>
              <w:bottom w:val="single" w:sz="8" w:color="CCEEFF"/>
            </w:tcBorders>
            <w:gridSpan w:val="12"/>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96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Neither we nor the Selling Stockholder have authorized any other person to provide you with information different from or in addition to that contained in this prospectus. If anyone provides you with different or inconsistent information, you should not rely on it. The Selling Stockholder is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further note that the representations, warranties and covenants made by us in any document that is filed as an exhibit to the registration statement of which this prospectus is a part and in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NeOnc Technologies Holdings, Inc. (“we,” “us,” “NeOnc,” or the “Company”) filed with the Securities and Exchange Commission (the “SEC”). The Selling Stockholder may sell from time to time up to 277,777 shares of Common Stock and 277,777 shares of Common Stock issuable upon exercise of the Warrant as described in this prospectus. We are not selling any shares of Common Stock under this prospectus, and we will not receive any proceeds from the sale of shares of Common Stock offered hereby by the Selling Stockholder. However, we may receive proceeds from the exercise of the Warrant to the extent it is exercised for cash. Any proceeds we receive from the cash exercise of the Warrant will be used for general corporate purposes. We will not receive any proceeds from the exercise of the Warrant if it is exercised on a cashless basis.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on Form S-3 of which this prospectus forms a part (the “Registration Statement”) that may contain material information relating to the offering. The prospectus supplement or post-effective amendment may also add, update or change information contained in this prospectus with respect to the offering. If there is any inconsistency between the information in this prospectus and the applicable prospectus supplement or post-effective amendment, you should rely on the prospectus supplement or post-effective amendment, as applicable. Before purchasing any Shares, you should carefully read this prospectus, any post-effective amendment, and any applicable prospectus supplement, together with the additional information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19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beginning on page 20.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Shares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incorporates by reference, and any post-effective amendment or any prospectus supplement may contain 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incorporated by reference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incorporated by reference in this prospectus, any post-effective amendment and any applicable prospectus supplement. Accordingly, investors should not place undue reliance on this information.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the terms “NeOnc,” “NTHI,” “we,” “us,” “our,” “our company,” “Company” and “our business” refer to NeOnc Technologies Holdings, Inc.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which involve risks and uncertainties. These forward-looking statements can be identified by the use of forward-looking terminology, including the terms “believe,” “estimate,” “project,” “anticipate,” “expect,” “seek,” “predict,” “continue,” “possible,” “intend,” “may,” “might,” “will,” “could,” “would” or “should” or, in each case, their negative, or other variations or comparable terminology. These forward-looking statements include all matters that are not historical facts. They appear in a number of places throughout this prospectus and the documents incorporated by reference in this prospectus, and include statements regarding our intentions, beliefs or current expectations concerning, among other things, development, manufacturing and sales of our products, our operations, prospects, strategies, and the industry in which we operate.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Forward-looking statements should not be read as a guarantee of future performance or results and may not be accurate indications of when such performance or results will be achieved. In light of these risks and uncertainties, the forward-looking events and circumstances discussed in this prospectus may not occur and actual results could differ materially from those anticipated or implied in the forward-looking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 You should read this prospectus, the documents incorporated by reference in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All forward-looking statements are based upon information available to us on the date of this prospectus.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prospectus. In addition, even if our results of operations, financial condition, business and prospects are consistent with the forward-looking statements contained (or incorporated by reference) in this prospectus, those results may not be indicative of results in subsequent periods.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necessarily involve risks and uncertainties, and our actual results could differ materially from those anticipated in the forward-looking statements due to several factors, including those set forth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filed with the SEC, as such risk factors may be amended, supplemented, or superseded from time to time by other reports we file with the SEC, including subsequent Annual Reports on Form 10-K and Quarterly Reports on Form 10-Q and any amendments thereof, and the risk factors described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applicable prospectus supplement.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The factors set forth below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cautionary statements made in this prospectus should be read and understood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applicable to all related forward-looking statements wherever they appear in this prospectus. The forward-looking statements contained in this prospectus represent our judgment as of the date of this prospectus. We caution readers not to place undue reliance on such statements. Except as required by law, we undertake no obligation to update publicly any forward-looking statements for any reason, even if new information becomes available or other events occur in the future. All subsequent written and oral forward-looking statements attributable to us or persons acting on our behalf are expressly qualified in their entirety by the cautionary statements contained above and throughout this 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and in documents incorporated by reference. This summary is not complete and may not contain all the information you should consider before investing in our securities. You should read this entire prospectus and the documents incorporated by reference in this prospectus carefully, especially the risks of investing in our securities discussed under the heading “Risk Factors,” and our financial statements and related notes incorporated by reference in this prospectus before making an investment decision. Except as otherwise indicated herein or as the context otherwise requires, references in this prospectus and the documents incorporated by reference in this prospectus to, the “Company”, “we”, “us”, “our”, “NeOnc” refer to NeOnc Technologies Holdings, Inc., a Delaware corporation, and its consolidated subsidiaries. This prospectus includes forward-looking statements that involve risks and uncertainties. See “Cautionary Note Regarding Forward-Looking Statements.” This prospectus includes trademarks, service marks and trade names owned by us or other companies. All trademarks, service marks and trade names included in this prospectus are the property of their respective owners.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NeOnc Technologies Holdings,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NeOnc has two lead products in development: NEO100 and NEO212. NEO100 is a purified form of perillyl alcohol (“POH”) which is administered to brain cancer patients via intranasal delivery. Ongoing activities for intranasal delivery of NEO100:</w:t>
      </w:r>
    </w:p>
    <w:p>
      <w:pPr>
        <w:spacing w:after="0" w:line="162"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human testing in a Phase I clinical trial and are currently conducting a Phase IIa trial with recurrent malignant glioma (Grade IV, IDH1 mutant and Grade III Astrocytoma, IDH1 mutant) patients.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Phase IIa trial of intranasal NEO100 (NEO 100-02) for patients with malignant skull-based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Our initial application for the Phase I/IIa trial for NEO 100 focused on an enrollment population with recurrent glioblastoma. Based on our Phase I results, NEO 100 showed more promise in patients with IDH1,2 mutant Grade IV astrocytomas. However, this patient population represented less than 5-10 percent of all patients with recurrent glioblastoma. As we planned for a total of 31 patients for Phase IIa in our initial analysis, enrollment of recurrent Grade IV, IDH1,2 mutants was limited due to the fact that only 5-10 percent of Grade IV astrocytomas have IDH1,2 mutations. Independent biostatistical review of clinical progression patterns of recurrent IDH1,2 mutated Grade III astrocytomas compared to recurrent IDH1,2 mutated Grade IV astrocytomas revealed that these two tumors have the same prognosis. As a result, in June 2023 we requested that the FDA not object to the inclusion of patients with recurrent Grade III IDH1,2 mutant astrocytomas in the Phase IIa trial. The FDA did not object and, as a result, the population of patients available to be enrolled is now much larger. Because the prognosis of recurrent Grade III IDH1,2 mutants is similar to recurrent IDH1,2 Grade IV astrocytomas, the number of patients needed to be enrolled in the Phase IIa trial to assess the clinical efficacy of NEO100 in the population of high grade astrocytomas did not change. The expanded patient population means that there are a significant number of additional patients that can be targeted for potential enrollment in the Phase IIa study; in an initial review, we have identified approximately 80 grade III IDH1,2 mutation-positive candidates. Patients with residual measurable disease are now followed via MRI scans to determine if there is progression, (recurrent disease), making them eligible for enrollment. We believe this focused enrollment strategy for Grade III and IV IDH1/2-mutant patients has the potential to support a more efficient trial process. Based on our current planning assumptions, we believe a Phase II data readout for NEO100 may be achievable by the end of 2026.</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derived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none of our product candidates have been approved for sale in the United States or elsewhere. We have no commercial products nor do we have a sales or marketing infrastructure. In order to market and sell our products we must conduct clinical trials on patients and obtain regulatory approvals from appropriate regulatory agencies, like the FDA in the United States, and similar organizations elsewhere in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from January 1, 2023 to December 31, 2025 have only generated revenue of $193,452. We do not anticipate generating significant revenues for the foreseeable future. We had net loss of $62,146,210 and $11,898,464 for the years ended December 31, 2025 and 2024, respectively. At December 31, 2025, we had an accumulated deficit of $112,754,655.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For so long as we remain an emerging growth company, we are permitted to rely on exemptions from specified disclosure requirements that are applicable to other public companies that are not emerging growth companies. These exemptions include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controls over financial reporting;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in the future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An emerging growth company may delay the adoption of certain accounting standards until those standards would otherwise apply to private companies. We have irrevocably elected not to take advantage of the extended transition period for complying with new or revised accounting standards provided to emerging growth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our direct listing,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NeOnc Technologies Holdings, Inc. (“NeOnc” or the “Company”) was incorporated in the State of Delaware. The Company was formed as a holding company in connection with a share exchange transaction completed on April 7, 2023, pursuant to which all of the common stockholders of NeOnc Technologies, Inc. (“NTI”), the Company’s wholly owned operating subsidiary, exchanged their shares in NTI for shares of common stock of the Company. NTI was originally incorporated in California in 2008 under the name NAS-ONC, Inc. and subsequently redomiciled and renamed NeOnc Technologies, Inc. Following the share exchange, NTI became a wholly owned subsidiary of the Company, which conducts all of the Company’s research and development and clinical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23975 Park Sorrento, Suite 205, Calabasas, CA 91302, and our telephone number is (310) 663-7831. We maintain a website at </w:t>
      </w:r>
      <w:r>
        <w:rPr>
          <w:rFonts w:ascii="Times New Roman" w:cs="Times New Roman" w:eastAsia="Times New Roman" w:hAnsi="Times New Roman"/>
          <w:sz w:val="18"/>
          <w:szCs w:val="18"/>
          <w:i w:val="1"/>
          <w:iCs w:val="1"/>
          <w:color w:val="auto"/>
        </w:rPr>
        <w:t>www.neonc.com/</w:t>
      </w:r>
      <w:r>
        <w:rPr>
          <w:rFonts w:ascii="Times New Roman" w:cs="Times New Roman" w:eastAsia="Times New Roman" w:hAnsi="Times New Roman"/>
          <w:sz w:val="18"/>
          <w:szCs w:val="18"/>
          <w:color w:val="auto"/>
        </w:rPr>
        <w:t>. Information available on our website is not incorporated by reference in and is not deemed a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complete description of our business, financial condition, results of operations and other important information, we refer you to our filings with the Securities and Exchange Commission (the “SEC”) that are incorporated by reference in this prospectus, including our Annual Report on Form 10-K for the year ended December 31, 2025 as filed with the SEC on March 31, 2026 and as further amended and filed with the SEC on May 5, 2026. For instructions on how to find copies of these documents, please see the section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beginning on page 20 of this prospectus.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3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 by the Selling</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555,554 shares of Common Stock, consisting of (i) 277,777 shares of Common Stock, and (ii) 277,777</w:t>
            </w:r>
          </w:p>
        </w:tc>
      </w:tr>
      <w:tr>
        <w:trPr>
          <w:trHeight w:val="238"/>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of Common Stock issuable upon exercise of the Warrant.</w:t>
            </w:r>
          </w:p>
        </w:tc>
      </w:tr>
      <w:tr>
        <w:trPr>
          <w:trHeight w:val="595"/>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r>
              <w:rPr>
                <w:rFonts w:ascii="Times New Roman" w:cs="Times New Roman" w:eastAsia="Times New Roman" w:hAnsi="Times New Roman"/>
                <w:sz w:val="29"/>
                <w:szCs w:val="29"/>
                <w:b w:val="1"/>
                <w:bCs w:val="1"/>
                <w:color w:val="auto"/>
                <w:vertAlign w:val="superscript"/>
              </w:rPr>
              <w:t>(1)</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25,933,365 shares of Common Stock as of June 12, 2026.</w:t>
            </w:r>
          </w:p>
        </w:tc>
      </w:tr>
      <w:tr>
        <w:trPr>
          <w:trHeight w:val="29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will not receive any of the proceeds from the sale by the Selling Stockholder of shares of Common</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Stock, although we will receive the exercise price of the Warrant not exercised by the Selling Stockholder on</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cashless exercise basis. Any proceeds received by us from the exercise of the Warrant will be used for</w:t>
            </w:r>
          </w:p>
        </w:tc>
      </w:tr>
      <w:tr>
        <w:trPr>
          <w:trHeight w:val="214"/>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corporate purposes. We will bear all fees and expenses incident to our obligation to register the</w:t>
            </w:r>
          </w:p>
        </w:tc>
      </w:tr>
      <w:tr>
        <w:trPr>
          <w:trHeight w:val="236"/>
        </w:trPr>
        <w:tc>
          <w:tcPr>
            <w:tcW w:w="2940" w:type="dxa"/>
            <w:vAlign w:val="bottom"/>
          </w:tcPr>
          <w:p>
            <w:pPr>
              <w:spacing w:after="0"/>
              <w:rPr>
                <w:sz w:val="20"/>
                <w:szCs w:val="20"/>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of Common Stock.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Trading Symbol</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shares of Common Stock are listed on the Nasdaq Global Market under the symbol “NTHI”.</w:t>
            </w:r>
          </w:p>
        </w:tc>
      </w:tr>
      <w:tr>
        <w:trPr>
          <w:trHeight w:val="41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Investing in these securities involves a high degree of risk. As an investor, you should be able to bear a</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complete loss of your investment. You should carefully consider the information set forth in the “</w:t>
            </w:r>
            <w:r>
              <w:rPr>
                <w:rFonts w:ascii="Times New Roman" w:cs="Times New Roman" w:eastAsia="Times New Roman" w:hAnsi="Times New Roman"/>
                <w:sz w:val="18"/>
                <w:szCs w:val="18"/>
                <w:i w:val="1"/>
                <w:iCs w:val="1"/>
                <w:color w:val="auto"/>
              </w:rPr>
              <w:t>Risk</w:t>
            </w:r>
          </w:p>
        </w:tc>
      </w:tr>
      <w:tr>
        <w:trPr>
          <w:trHeight w:val="236"/>
        </w:trPr>
        <w:tc>
          <w:tcPr>
            <w:tcW w:w="2940" w:type="dxa"/>
            <w:vAlign w:val="bottom"/>
          </w:tcPr>
          <w:p>
            <w:pPr>
              <w:spacing w:after="0"/>
              <w:rPr>
                <w:sz w:val="20"/>
                <w:szCs w:val="20"/>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this prospectus before deciding to invest in our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the following: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2,093,305 shares of Common Stock issuable upon exercise of outstanding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573,666 unvested shares of restricted stock issued pursuant to our 2023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pursuant to a $50 million Equity Purchase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249,507 shares of Common Stock reserved for future issuance under our 2023 Equity Incentive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you should carefully consider the risks and uncertainties described below and the other information in this prospectus, and under the caption “Risk Factors” in our Annual Report on Form 10-K for the fiscal year ended December 31, 2025 as filed with the SEC on March 31, 2026 and as further amended and filed with the SEC on May 5, 2026, which is incorporated by reference, as well as the other information in this prospectus, before deciding whether to invest in shares of our Common Stock. If any of the following risks actually occur, our business, results of operations and financial condition could be materially adversely affected. In this case, the trading price of our Common Stock would likely decline, and you might lose part or all your investment in our Common Stock. Additional risks not currently known to us or which we consider immaterial based on information currently available to us may also materially adversely affect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Private Placement Financing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 of the Warrant may, at its option, at any time, exercise its Warrant for, Common Stock based on agreed-upon formulas. Any such conversion or exercise will result in significant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stockholders may experience significant dilution as a result of our issuance of the Warrant offered hereby. The Warrant is exercisable for five years to purchase up to 277,777 shares of Common Stock at an initial exercise price of $9.00, subject to adjustment under certain circumstances described in the Warrant and will expire on the fifth-year anniversary of the date of issuance. See “</w:t>
      </w:r>
      <w:r>
        <w:rPr>
          <w:rFonts w:ascii="Times New Roman" w:cs="Times New Roman" w:eastAsia="Times New Roman" w:hAnsi="Times New Roman"/>
          <w:sz w:val="18"/>
          <w:szCs w:val="18"/>
          <w:i w:val="1"/>
          <w:iCs w:val="1"/>
          <w:color w:val="auto"/>
        </w:rPr>
        <w:t>Description of Private Placement</w:t>
      </w:r>
      <w:r>
        <w:rPr>
          <w:rFonts w:ascii="Times New Roman" w:cs="Times New Roman" w:eastAsia="Times New Roman" w:hAnsi="Times New Roman"/>
          <w:sz w:val="18"/>
          <w:szCs w:val="18"/>
          <w:color w:val="auto"/>
        </w:rPr>
        <w:t>” for additional information. The issuance of material amounts of Common Stock by us pursuant to the exercise of the Warrant would cause our stockholders to experience significant dilution in their investment in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further issuances of our Common Stock may adversely affect the market price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filing this prospectus in accordance with the Securities Purchase Agreement entered into with the Selling Stockholder. Any further issuances, or the perception of further issuances, of our Common Stock or securities convertible or exercisable for our Common Stock may cause our share price to decline.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over the use of the net proceeds from the Common Stock issued to the Selling Stockholder following their exercise of the Warrant for cash, if any, and you may not agree with how we use the proceeds and the proceeds may not be invested successfully.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team will have broad discretion as to the use of the net proceeds from the Common Stock issued to the Selling Stockholder following its exercise of Warrant for cash,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States (“U.S.”) government may have certain rights to intellectual property embodied in our current or future drug candidates.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intellectual property rights were generated through the use of U.S. government funding and are subject to certain federal regulations, such as the Bayh-Dole Act of 1980 (the “Bayh-Dole Act”). Pursuant to the Bayh-Dole Act, the U.S. government may have certain rights to intellectual property embodied in our current or future drug candidates. U.S. government rights in any inventions developed under a government funded program include a non-exclusive, non-transferable, irrevocable worldwide license to use inventions for any government purpose. In addition, under certain limited circumstances, the U.S. government would have the right to require us to grant exclusive, partially exclusive, or non-exclusive licenses to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(referred to as “march-in rights”). The U.S. government also has the right to take title to these inventions, if any, if we fail to disclose the invention to the government or fail to file an application to register the intellectual property within specified time limits. Intellectual property generated under a government funded program is also subject to certain reporting requirements, compliance with which may require us to expend substantial resources. The U.S. government also requires that any products embodying the subject invention or produced through the use of the subject invention be manufactured substantially in the United States. This manufacturing preference requirement can be waived if the owner of the intellectual property can show reasonable but unsuccessful efforts have been made to grant licenses on similar terms to potential licensees that would be likely to manufacture substantially in the United States or that, under the circumstances, domestic manufacture is not commercially feasible. The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outstanding tax liabilities and could be subject to additional tax liabilities.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tax provisions in the United States. In connection with the granting and vesting of restricted stock under our 2023 Equity Incentive Plan to our employees, officers, directors, and advisory board members, we are required to pay federal and state withholding tax. To date, we have not paid such required taxes which to date, with accrued penalties and interest, totals approximately $7.0 million. While we currently do not have sufficient cash to satisfy this obligation, we plan to utilize net proceeds from future offerings of securities to pay such tax in full. However, there can be no assurance that proceeds from the sale of securities further to such offerings, when and if received, will be sufficient to satisfy such obligation or that sufficient proceeds will be received in time to pay such taxes without penalty or interest charges. In the absence of such proceeds, we will be required to secure alternate sources of funding which may not be available on favorable terms or at all. Without adequate monies to cover such taxes, we not only will continue to incur additional penalties and interest charges, but we may be subject to collection actions by state and federal taxing authorities. There can be no assurance that such penalties will not be substantial or that collection actions, if initiated, will not have a material adverse effect on our financial condition or results of operations.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or may not, elect to sell shares of our Common Stock covered by this prospectus. To the extent the Selling Stockholder chooses to sell shares of our Common Stock covered by this prospectus, we will not receive any proceeds from any such sales of our Common Stock, although we will receive the exercise price of the Warrant if not exercised by the Selling Stockholder on a cashless exercise basis. Any proceeds received by us from the exercise of the Warrant will be used for general corporate purposes. We will bear all fees and expenses incident to our obligation to register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2026, the Company entered into Securities Purchase Agreements (the “Agreements”) to issue and sell up to 2,222,222 shares of Common Stock at a per share purchase price of $7.20 (the “Shares”) and five-year warrants to purchase up to 2,222,222 shares of Common Stock at a per share exercise price of $9.00 (the “Warrants” and together with the Shares, the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closing further to the Agreement consisted of the issuance of 1,388,888 Shares and Warrants to purchase 1,388,888 shares of Common Stock to a single institutional investor at a purchase price of $10 million. The subsequent closing further to the Agreement consisted of the issuance of 86,361 Shares and Warrants to purchase 86,361 shares of Common Stock to three investors at an aggregate purchase price of $621,804.11. The offering of Securities further to the Agreement terminated on January 31,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2026, the Company entered into a second Securities Purchase Agreement to issue and sell up to the remaining 746,973 Shares at the same per Share purchase price of $7.20 and Warrants to purchase up to 746,973 shares of Common Stock at the same per share exercise price of $9.00. The initial closing further to this second Securities Purchase Agreement took place on February 25, 2026, and consisted of the issuance of an aggregate of 201,390 Shares and Warrants to purchase 201,390 shares of Common Stock to four investors at a combined purchase price of $1,450,004. The offering of Securities further to the second Securities Purchase Agreement terminated on February 28,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2026, the Company entered into a third Securities Purchase Agreement to issue and sell up to the remaining 545,583 Shares at the same per Share purchase price of $7.20 and Warrants to purchase up to 545,583 shares of Common Stock at the same per share exercise price of $9.00. The initial closing further to this third Securities Purchase Agreement took place on March 20, 2026, and consisted of the issuance of an aggregate of 138,889 Shares and Warrants to purchase 138,889 shares of Common Stock to one investor at a purchase price of $1,000,000. This third Securities Purchase Agreement contains customary representations, warranties and agreements of the Company, customary conditions to closing and obligations of the parties and the offering of Securities further to the third Securities Purchase Agreement terminated on April 30, 2026.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20, 2026, the Company entered into a fourth Securities Purchase Agreement to issue and sell up to the remaining 406,694 Shares at the same per Share purchase price of $7.20 and Warrants to purchase up to 406,694 shares of Common Stock at the same per share exercise price of $9.00. The initial closing further to this fourth Securities Purchase Agreement took place on April 20, 2026, and consisted of the issuance of an aggregate of 277,777 Shares and a Warrant to purchase 277,777 shares of Common Stock to one investor at a purchase price of approximately $2,000,000. This fourth Securities Purchase Agreement contains customary representations, warranties and agreements of the Company, customary conditions to closing and obligations of the parties and the offering of Securities further to the fourth Securities Purchase Agreement terminated on April 30, 2026. The registration statement/prospectus is hereby filed to register the 277,777 shares of Common Stock and 277,777 shares of Common Stock issuable upon exercise of the Warrant.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and provisions of the Warrants. The summary is not complete and is subject to and qualified in its entirety by the provisions of the form of Warrant, which is filed as an exhibit to the registration statement of which this prospectus forms a part. Prospective investors should carefully review the terms and provisions set forth in the form of Warrant.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expire five (5) years from the date of issuance. The Warrants are exercisable, at the option of each holder, in whole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to us a duly executed exercise notice and, at any time a registration statement registering the issuance of the shares of Common Stock underlying the Warrants under the Securities Act of 1933, as amended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the holder may elect to exercise the Warrants through a cashless exercise, in which case the holder would receive upon such exercise the net number of shares of Common Stock determined according to the formula set forth in the Warrant. No fractional shares of Common Stock will be issued in connection with the exercise of Warrants. In lieu of fractional shares, we will pay the holder an amount in cash equal to the fractional amount multiplied by the exercise price or round up to the next whole share.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does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9.99% of the number of shares of our Common Stock outstanding immediately after giving effect to the exercise, as such percentage ownership is determined in accordance with the terms of the Warrants.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Common Stock purchasable upon exercise of the Warrants is $9.00. The exercise price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price adjustment in the event of certain issuances of securities below the exercise price of the Warrants and price adjustment in the event of certain stock dividends and distributions, stock splits, stock combinations, reclassifications or similar events affecting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Agreements and the Warrants do not purport to be complete and are qualified in their entirety by reference to the full text of the forms of Agreement filed as Exhibits 10.1, 10.2, 10.3 and 10.4 hereto, and the forms of Warrant filed as 4.8, 4.9, 4.10 and 4.11 hereto, and incorporated by reference herein.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being offered by Selling Stockholder are the Shares. For additional information regarding the transactions in which the shares of Common Stock were issued, refer the section entitled “</w:t>
      </w:r>
      <w:r>
        <w:rPr>
          <w:rFonts w:ascii="Times New Roman" w:cs="Times New Roman" w:eastAsia="Times New Roman" w:hAnsi="Times New Roman"/>
          <w:sz w:val="18"/>
          <w:szCs w:val="18"/>
          <w:i w:val="1"/>
          <w:iCs w:val="1"/>
          <w:color w:val="auto"/>
        </w:rPr>
        <w:t>Description of Private Placement”</w:t>
      </w:r>
      <w:r>
        <w:rPr>
          <w:rFonts w:ascii="Times New Roman" w:cs="Times New Roman" w:eastAsia="Times New Roman" w:hAnsi="Times New Roman"/>
          <w:sz w:val="18"/>
          <w:szCs w:val="18"/>
          <w:color w:val="auto"/>
        </w:rPr>
        <w:t xml:space="preserve"> and description of the Securities Purchase Agreement dated April 20,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shares of Common Stock in order to permit the Selling Stockholder to offer its shares of Common Stock for resale from time to time pursuant to the Securities Purchase Agreement dated April 20, 2026. Except for the ownership of the securities issued in the Private Placement, the Selling Stockholder has not had any material relationship with us within the past three years.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(as determined under Section 13(d) of the Securities Exchange Act of 1934, as amended, and the rules and regulations thereunder) of the shares of Common Stock held by the Selling Stockholder. The second column lists the number of shares of Common Stock beneficially owned by the Selling Stockholder, based on the Selling Stockholder’s ownership of securities issued in the Private Placement held by such Selling Stockholder on that date but taking account of any limitations on conversion and exercise set forth therein.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 and does not take into account any limitations on exercise of the warrants set forth therein.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Securities Purchase Agreement dated April 20, 2026 with the Selling Stockholder, this prospectus generally covers the resale of the sum of shares of Common Stock, and the maximum number of shares of Common Stock issued or issuable upon exercise of the Warrant, determined as if the outstanding Warrant were exercised in full (without regard to any limitations on conversion or exercise contained therein solely for the purpose of such calculation) at the exercise price calculated as of the trading day immediately preceding the date this registration statement was initially filed with the SEC. Because the exercise price of the Warrant may be adjusted, the number of shares that will actually be issued may be more or less than the number of shares being offered by this prospectus. The fourth column assumes the sale of all of the shares offered by the Selling Stockholder pursuant to this prospectus. Under the terms of the Warrant, the Selling Stockholder may not exercise the Warrant to the extent (but only to the extent) such Selling Stockholder or any of its affiliates would beneficially own a number of our Common Stock which would exceed 4.99% or 9.99% of our outstanding shares (the “Maximum Percentage”). The number of shares in the second column reflects these limitations. The Selling Stockholder may sell all, some or none of its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45"/>
              <w:spacing w:after="0" w:line="18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600" w:type="dxa"/>
            <w:vAlign w:val="bottom"/>
            <w:gridSpan w:val="4"/>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 Owned Prior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Maximum Number of</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to Effective Date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Offered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left="70"/>
              <w:spacing w:after="0" w:line="270" w:lineRule="exact"/>
              <w:rPr>
                <w:sz w:val="20"/>
                <w:szCs w:val="20"/>
                <w:color w:val="auto"/>
              </w:rPr>
            </w:pPr>
            <w:r>
              <w:rPr>
                <w:rFonts w:ascii="Times New Roman" w:cs="Times New Roman" w:eastAsia="Times New Roman" w:hAnsi="Times New Roman"/>
                <w:sz w:val="18"/>
                <w:szCs w:val="18"/>
                <w:b w:val="1"/>
                <w:bCs w:val="1"/>
                <w:color w:val="auto"/>
                <w:w w:val="96"/>
              </w:rPr>
              <w:t>this Prospectus</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Hereby are Sold</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64K Capital, LLC </w:t>
            </w:r>
            <w:r>
              <w:rPr>
                <w:rFonts w:ascii="Times New Roman" w:cs="Times New Roman" w:eastAsia="Times New Roman" w:hAnsi="Times New Roman"/>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555,554</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3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25,933,365 shares of our Common Stock outstanding as of June 12, 2026.</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64K Capital, LLC is 3889 Maple Ave, Suite 500, Dallas, Texas 75219.</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the number of Common Stock beneficially owned by the Selling Stockholder as of June 12, 2026, consisting of 277,777 shares of Common Stock and 277,777 shares of Common Stock issuable upon exercise of the Warrant.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Amended and Restated Certificate of Incorporation and Amended and Restated Bylaws.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and certain provisions of our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the Registration Statement of which this prospectus is a part, and by the applicable provisions of Delaware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110,000,000 shares of capital stock, of which (i) 100,000,000 shares are Common Stock with a par value $0.0001 per share and (ii) 10,000,000 shares are preferred stock with a par value of $0.0001 per share. All of our authorized shares of preferred stock are undesignated. As of April 30, 2026, there are 25,194,259 shares of Common Stock and no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upon by the shareholders, including the election of directors. Such holders are not entitled to vote cumulatively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shareholders,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and our amended and restated certificate of incorporation, the classified structure of our board of directors, the size of our board of directors, removal of directors, director liability, vacancies on our board of directors, special meetings, shareholder notices, actions by written consent, and exclusive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our common shareholders are entitled to receive ratably such dividends, if any, as may be declared from time to time by the board of directors out of funds legally available for that purpose. We have never declared or paid any cash dividends on our capital stock. We currently expect to retain future earnings, if any, to finance the growth and development of our business and do not anticipate paying any cash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our common shareholders are entitled to share ratably in all assets remaining after payment of liabilities, subject to prior distribution rights of preferred stock, if any,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shareholders have no preemptive or conversion rights or other subscription rights. There are no redemption or sinking fund provisions applicable to the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is authorized, without action by the shareholders, to designate and issue up to 10,000,000 shares of preferred stock in one or more series and to designate the powers, preferences and rights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dividend rights of the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us without further action by the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registration statement, 6,000 shares of Series A Convertible Preferred Stock (“Series A Preferred Stock”) are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 Par Value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Series A Preferred Certificate of Designation, we authorized 6,000 Series A Preferred Shares, par value $0.0001 per share. Each share of the Series A Preferred Stock has a stated value of $1,000.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Series A Preferred Stock have no voting rights except as required by applicable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Liquidation Preference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and any junior securities, on parity with any parity securities, and junior to any senior securities with respect to dividends and distributions upon liquidation, dissolution or winding up of the Company. In the event of a liquidation event, the holders of the Series A Preferred Stock shall be entitled to receive in cash out of the assets of the Company, whether from capital or from earnings available for distribution to its stockholders, before any amount shall be paid to the holders of any of shares of junior securities, but pari passu with any parity securities then outstanding, an amount per share of the Series A Preferred Stock equal to the conversion amount as defined in the Certificate of Designation.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Conversion only in the Event of an Election not to Redeem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the right to redeem all of the Series A Preferred Stock at the then stated value on or before a date that is four months from the date of issuance (with two options to extend for an additional one month at the Company’s discretion, with each extension adding $50.00 per share to the then stated value of such Series A Preferred Stocks). Only in the event that the Company elects not to redeem all of the Series A Preferred Stock on or before said date(s), then an additional $166.67 per share shall be added to the then stated value of such shares and each share of Series A Preferred Stock shall then become convertible, at the option of the holder, into that number of shares of common stock (subject to the beneficial ownership limitation) determined by dividing the then stated value of such share by the conversion price, which will be 80% of the lowest closing price of the Company’s common stock during the five trading days prior to conversion, subject to a floor price of $1.00 and subject to adjustment for reverse and forward stock splits, stock dividends and other similar transactions. Conversion is subject to a 19.99% beneficial ownership limitation unless stockholder approval is obtained.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effect any conversion of the Series A Preferred Stock, and a holder shall not have the right to convert any portion of the Series A Preferred Stock, to the extent that after giving effect to the conversion sought by the holder such holder (together with such holder’s affiliates) would beneficially own more than 4.99% (or upon election by a holder, 9.99%) of the number of shares of common stock outstanding immediately after giving effect to the issuance of shares of common stock issuable upon such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2022, NeOnc Technologies, Inc. issued a $50,000 convertible note to a shareholder due August 30, 2023 (“Note”). The Note bears interest at 2% per annum and is convertible. The Note and all accrued interest thereon is convertible, at the option of the noteholder, into the class and series of equity securities (“Conversion Stock”) that is sold by us in its next issuance of equity securities in a Financing Transaction (as defined below), consummated after the issuance date of the note. A Financing Transaction is a sale, other than in an initial public offering, of equity securities by us to investors for cash. The Financing Transaction does not include the issuance of stock, options, or warrants to service providers in connection with the rendition of such services or to third parties in connection with the contribution of non-cash assets to us. The number of shares of Conversion Stock to be issued to the noteholder upon such conversion shall be equal to the quotient obtained by dividing (i) the entire principal amount of the Note plus accrued interest by (ii) the Financing Transaction conversion price, which shall be equal to 75% of the price paid for one share of Conversion Stock by the investors in the Financing Transaction. The entire principal amount of and accrued interest of the Note shall automatically be converted, without further action on the part of the noteholder or us, into the class and series of stock issued by us, at the closing of an initial public offering. The number of shares of stock to be issued to the holder upon such conversion shall be equal to the quotient obtained by dividing (i) the entire principal amount of the Note plus accrued interest by (ii) the initial public offering conversion price, which shall be equal to 75% of the price paid for one share of Conversion Stock by the investors in the initial public offering.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warrants to purchase 2,093,305 shares of our common stock with an exercise price per share of $9.00 were outstanding (the “Warrants”). The Warrants were issued on January 29, 2026, February 24, 2026, March 20, 2026, and April 20, 2026. The following is a summary of certain terms and provisions of the Warrants, and the summary is not complete and is subject to and qualified in its entirety by the provisions of the form of Warrant:</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expire five (5) years from the date of issuance. The Warrants are exercisable, at the option of each holder, in whole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to us a duly executed exercise notice and, at any time a registration statement registering the issuance of the shares of Common Stock underlying the Warrants under the Securities Act of 1933, as amended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the holder may elect to exercise the Warrants through a cashless exercise, in which case the holder would receive upon such exercise the net number of shares of Common Stock determined according to the formula set forth in the Warrant. No fractional shares of Common Stock will be issued in connection with the exercise of Warrants. In lieu of fractional shares, we will pay the holder an amount in cash equal to the fractional amount multiplied by the exercise price or round up to the next whole share.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does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9.99% of the number of shares of our Common Stock outstanding immediately after giving effect to the exercise, as such percentage ownership is determined in accordance with the terms of the Warrants.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 w:name="page18"/>
    <w:bookmarkEnd w:id="1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Common Stock purchasable upon exercise of the Warrants is $9.00. The exercise price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price adjustment in the event of certain issuances of securities below the exercise price of the Warrants and price adjustment in the event of certain stock dividends and distributions, stock splits, stock combinations, reclassifications or similar events affecting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shareholders do not have cumulative voting rights, our shareholders holding a plurality of the outstanding shares of Common Stock outstanding will be able to elect all of our directors. Our amended and restated certificate of incorporation and our amended and restated bylaws provide for shareholder actions at a duly called meeting of shareholders. A special meeting of shareholders may be called by a majority of our board of directors, the chair of our board of directors, or our chief executive officer or president. Our amended and restated bylaws will establish an advance notice procedure for shareholder proposals to be brought before an annual meeting of our shareholders, including proposed nominations of persons for election to our board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shareholders to replace our Board of Directors as well as for another party to obtain control of us by replacing our Board of Directors. Since our board of directors has the power to retain and discharge our officers, these provisions could also make it more difficult for existing shareholders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shareholder for a period of three years after the date that such shareholder became an interested shareholder, with the following exceptions:</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shareholder becoming an interested shareholder;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shareholder becoming an interested shareholder, the interested shareholder owned at least 85% of the voting stock of the corporation outstanding at the time the transaction began, excluding for purposes of determining the voting stock outstanding (but not the outstanding voting stock owned by the interested shareholder)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shareholders, and not by written consent, by the affirmative vote of at least 66 2∕3% of the outstanding voting stock that is not owned by the interested shareholder.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shareholder;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shareholder;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shareholder;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shareholder of the benefit of any loss, advances, guarantees, pledges or other financial benefits by or through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shareholder” as an entity or person who, together with the person’s affiliates and associates, beneficially owns, or within three years prior to the time of determination of interested shareholder status did own, 15% or more of the outstanding voting stock of the corporation.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adjudication of disputes provision which limits the forum to the Delaware Court of Chancery for certain shareholder litigation matters actions against us, which may limit an investor’s ability to obtain a favorable judicial forum for disputes with us or our directors, officers, employees or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dictate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our behalf; an action asserting a breach of fiduciary duty owed by any current or former officer, director, employee or to the shareholders of our company; any claim arising under Delaware corporate law, our certificate of incorporation or our bylaws, as amended from time to time; and any action asserting a claim governed by the internal affairs doctrine. Any person or entity purchasing or otherwise acquiring any interest in shares of capital stock of our company shall be deemed to have notice of and consented to the provisions of our amended and restated bylaws.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this provision of our amended and restated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unless we consent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shareholder actions, derivative suits and other intra-corporate disputes. With respect to such state law claims, our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 choice of forum provisions contained in our amended and restated bylaws may limit a shareholder’s ability to bring a claim in a judicial forum that it finds favorable for disputes with our company or any of our directors, officers, other employees or shareholders,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our company, a court could find the choice of forum provisions contained in our bylaws, as amended. to be inapplicable or unenforceable in such action. As a result, we could incur additional costs associated with resolving such actions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appointed VStock Transfer LLC, 18 Lafayette Pl Woodmere, NY 11598, telephone: (212) 828-8436, as the transfer agent for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Global Market under the symbol “NTHI”.</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of the securities and any of its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of 1933, as amended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shares of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Manatt, Phelps &amp; Phillips, LLP, Costa Mesa, California.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statements of NeOnc Technologies Holdings Inc. incorporated in this prospectus by reference to the Annual Report on Form 10-K for the year ended December 31, 2025 have been so incorporated in reliance on (i) the report of CBIZ CPAs P.C., an independent registered public accounting firm, given on the authority of said firm as experts in auditing and accounting, with respect to the financial statements of the Company for the year ended December 31, 2025, and (ii) the report of Marcum LLP, an independent registered public accounting firm, given on the authority of said firm as experts in auditing and accounting, with respect to the financial statements of the Company for the year ended December 31, 2024. Such financial reports are incorporated by reference in reliance upon the reports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http://www.sec.gov.</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SEC filings, including the registration statement on Form S-3 and the exhibits filed with the registration statement, are also available from the SEC’s website at www.sec.gov, which contains reports, proxy and information statements and other information regarding issuers that file electronically with the SEC. Additionally, we will make these filings available, free of charge, on our website at </w:t>
      </w:r>
      <w:r>
        <w:rPr>
          <w:rFonts w:ascii="Times New Roman" w:cs="Times New Roman" w:eastAsia="Times New Roman" w:hAnsi="Times New Roman"/>
          <w:sz w:val="18"/>
          <w:szCs w:val="18"/>
          <w:i w:val="1"/>
          <w:iCs w:val="1"/>
          <w:u w:val="single" w:color="auto"/>
          <w:color w:val="auto"/>
        </w:rPr>
        <w:t>www.neonc.com</w:t>
      </w:r>
      <w:r>
        <w:rPr>
          <w:rFonts w:ascii="Times New Roman" w:cs="Times New Roman" w:eastAsia="Times New Roman" w:hAnsi="Times New Roman"/>
          <w:sz w:val="18"/>
          <w:szCs w:val="18"/>
          <w:color w:val="auto"/>
        </w:rPr>
        <w:t xml:space="preserve"> as soon as reasonably practicable after we electronically file such materials with, or furnish them to, the SEC. The information on our website, other than these filings, is not, and should not be, considered part of this prospectus and is not incorporated by reference into this document.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8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as filed with the SEC on March 31, 2026 and as further amended on </w:t>
      </w:r>
      <w:hyperlink r:id="rId35">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filed with the SEC on May 5,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as filed with the SEC on May 15,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June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the information furnished under Items 2.02 or 7.01 and the exhibits under Item 9.01 thereto);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the Registrant’s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on March 31, 2026, as amended by our Current Reports on </w:t>
      </w:r>
      <w:hyperlink r:id="rId4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12, 2026 (File No.: 001-42567), and any amendment, supplements or report filed with the SEC for the purpose of updating such description, including Exhibit 4.1 to the Annual Report.</w:t>
      </w:r>
    </w:p>
    <w:p>
      <w:pPr>
        <w:spacing w:after="0" w:line="180"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any information furnished pursuant to Items 2.02 or 7.01 of Form 8-K or related exhibits furnished pursuant to Item 9.01 of Form 8-K. Any statement contained in a document incorporated or deemed to be incorporated by reference herein shall be deemed to be modified or superseded for purposes of the registration statement of which this prospectus forms a part to the extent that a statement contained in any subsequently filed document, which also is deemed to be incorporated by reference herein, modifies or supersedes such statement.</w:t>
      </w:r>
    </w:p>
    <w:p>
      <w:pPr>
        <w:spacing w:after="0" w:line="189"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any or all of the documents incorporated herein by reference. These documents will be provided to you at no cost, by calling us at (310) 663-7831 or by contacting: 23975 Park Sorrento, Suite 205 Calabasas, California 91302, Attn: Corporate Secretary. In addition, copies of any or all of the documents incorporated herein by reference may be accessed at our website at </w:t>
      </w:r>
      <w:r>
        <w:rPr>
          <w:rFonts w:ascii="Times New Roman" w:cs="Times New Roman" w:eastAsia="Times New Roman" w:hAnsi="Times New Roman"/>
          <w:sz w:val="18"/>
          <w:szCs w:val="18"/>
          <w:i w:val="1"/>
          <w:iCs w:val="1"/>
          <w:color w:val="auto"/>
        </w:rPr>
        <w:t>www.neonc.com</w:t>
      </w:r>
      <w:r>
        <w:rPr>
          <w:rFonts w:ascii="Times New Roman" w:cs="Times New Roman" w:eastAsia="Times New Roman" w:hAnsi="Times New Roman"/>
          <w:sz w:val="18"/>
          <w:szCs w:val="18"/>
          <w:color w:val="auto"/>
        </w:rPr>
        <w:t>. The information contained on, or that can be accessed through, our website is not a part of this prospectus, and our reference to the address for our website is intended to be an inactive textual reference only.</w:t>
      </w:r>
    </w:p>
    <w:p>
      <w:pPr>
        <w:spacing w:after="0" w:line="2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2702560</wp:posOffset>
            </wp:positionH>
            <wp:positionV relativeFrom="page">
              <wp:posOffset>1914525</wp:posOffset>
            </wp:positionV>
            <wp:extent cx="2143125" cy="668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555,554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432435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168910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1391285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1417320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1777365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jpe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34" Type="http://schemas.openxmlformats.org/officeDocument/2006/relationships/hyperlink" Target="https://www.sec.gov/ix?doc=/Archives/edgar/data/1979414/000182912626002860/neonctechnologies_10k.htm" TargetMode="External"/><Relationship Id="rId35" Type="http://schemas.openxmlformats.org/officeDocument/2006/relationships/hyperlink" Target="https://www.sec.gov/ix?doc=/Archives/edgar/data/1979414/000182912626004495/neonctechnologies_10ka.htm" TargetMode="External"/><Relationship Id="rId36" Type="http://schemas.openxmlformats.org/officeDocument/2006/relationships/hyperlink" Target="https://www.sec.gov/ix?doc=/Archives/edgar/data/1979414/000182912626005358/neonctechnologies_10q.htm" TargetMode="External"/><Relationship Id="rId37" Type="http://schemas.openxmlformats.org/officeDocument/2006/relationships/hyperlink" Target="https://www.sec.gov/ix?doc=/Archives/edgar/data/1979414/000182912626003401/neonctechnologies_8k.htm" TargetMode="External"/><Relationship Id="rId38" Type="http://schemas.openxmlformats.org/officeDocument/2006/relationships/hyperlink" Target="https://www.sec.gov/ix?doc=/Archives/edgar/data/1979414/000182912626003882/neonctechnologies_8k.htm" TargetMode="External"/><Relationship Id="rId39" Type="http://schemas.openxmlformats.org/officeDocument/2006/relationships/hyperlink" Target="https://www.sec.gov/ix?doc=/Archives/edgar/data/1979414/000182912626006400/neonctechnologies_8k.htm" TargetMode="External"/><Relationship Id="rId40" Type="http://schemas.openxmlformats.org/officeDocument/2006/relationships/hyperlink" Target="http://www.sec.gov/ix?doc=/Archives/edgar/data/1979414/000182912626006400/neonctechnologies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2026-06-23T16:26:52Z</dcterms:created>
  <dcterms:modified xsi:type="dcterms:W3CDTF">2026-06-23T16:26:52Z</dcterms:modified>
</cp:coreProperties>
</file>