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820" w:right="940" w:hanging="2872"/>
        <w:spacing w:after="0" w:line="490" w:lineRule="auto"/>
        <w:tabs>
          <w:tab w:leader="none" w:pos="11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9"/>
        <w:spacing w:after="0" w:line="500" w:lineRule="auto"/>
        <w:tabs>
          <w:tab w:leader="none" w:pos="11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001-42567</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NEONC TECHNOLOGIES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gridSpan w:val="2"/>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95-1954864</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2"/>
          </w:tcPr>
          <w:p>
            <w:pPr>
              <w:jc w:val="center"/>
              <w:ind w:right="190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0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6"/>
        </w:trPr>
        <w:tc>
          <w:tcPr>
            <w:tcW w:w="764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23975 Park Sorrento Suite 205 Calabasas, CA</w:t>
            </w:r>
          </w:p>
        </w:tc>
        <w:tc>
          <w:tcPr>
            <w:tcW w:w="360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b w:val="1"/>
                <w:bCs w:val="1"/>
                <w:color w:val="auto"/>
              </w:rPr>
              <w:t>91302</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7640" w:type="dxa"/>
            <w:vAlign w:val="bottom"/>
            <w:gridSpan w:val="4"/>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(310) 663-7831</w:t>
            </w: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2820" w:type="dxa"/>
            <w:vAlign w:val="bottom"/>
          </w:tcPr>
          <w:p>
            <w:pPr>
              <w:spacing w:after="0"/>
              <w:rPr>
                <w:sz w:val="19"/>
                <w:szCs w:val="19"/>
                <w:color w:val="auto"/>
              </w:rPr>
            </w:pPr>
          </w:p>
        </w:tc>
        <w:tc>
          <w:tcPr>
            <w:tcW w:w="4820" w:type="dxa"/>
            <w:vAlign w:val="bottom"/>
            <w:tcBorders>
              <w:top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00" w:type="dxa"/>
            <w:vAlign w:val="bottom"/>
            <w:tcBorders>
              <w:top w:val="single" w:sz="8" w:color="auto"/>
            </w:tcBorders>
          </w:tcPr>
          <w:p>
            <w:pPr>
              <w:spacing w:after="0"/>
              <w:rPr>
                <w:sz w:val="19"/>
                <w:szCs w:val="19"/>
                <w:color w:val="auto"/>
              </w:rPr>
            </w:pPr>
          </w:p>
        </w:tc>
        <w:tc>
          <w:tcPr>
            <w:tcW w:w="2800" w:type="dxa"/>
            <w:vAlign w:val="bottom"/>
          </w:tcPr>
          <w:p>
            <w:pPr>
              <w:spacing w:after="0"/>
              <w:rPr>
                <w:sz w:val="19"/>
                <w:szCs w:val="19"/>
                <w:color w:val="auto"/>
              </w:rPr>
            </w:pP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NTHI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26,013,136 shares of common stock outstanding as of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In this report, the term “Company”, “we”, “us”, and “our” refers to </w:t>
      </w:r>
      <w:r>
        <w:rPr>
          <w:rFonts w:ascii="Times New Roman" w:cs="Times New Roman" w:eastAsia="Times New Roman" w:hAnsi="Times New Roman"/>
          <w:sz w:val="18"/>
          <w:szCs w:val="18"/>
          <w:b w:val="1"/>
          <w:bCs w:val="1"/>
          <w:i w:val="1"/>
          <w:iCs w:val="1"/>
          <w:color w:val="auto"/>
        </w:rPr>
        <w:t>NEONC TECHNOLOGIES HOLDINGS, INC.</w:t>
      </w:r>
      <w:r>
        <w:rPr>
          <w:rFonts w:ascii="Times New Roman" w:cs="Times New Roman" w:eastAsia="Times New Roman" w:hAnsi="Times New Roman"/>
          <w:sz w:val="18"/>
          <w:szCs w:val="18"/>
          <w:i w:val="1"/>
          <w:iCs w:val="1"/>
          <w:color w:val="auto"/>
        </w:rPr>
        <w:t xml:space="preserve"> and its wholly-owned subsidiary.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89" w:lineRule="exact"/>
        <w:rPr>
          <w:sz w:val="20"/>
          <w:szCs w:val="20"/>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financial condition, including our ability to obtain the funding necessary to advance the development of NEO100, NEO212, and any other current or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the safety, tolerability, and efficacy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of NEO100 and NEO212, including the timing of initiation and completion of studies and trials, and the timing of availability of trial data;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340" w:type="dxa"/>
            <w:vAlign w:val="bottom"/>
            <w:gridSpan w:val="6"/>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bottom w:val="single" w:sz="8" w:color="0000EE"/>
            </w:tcBorders>
            <w:gridSpan w:val="10"/>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 - Financial Information</w:t>
            </w:r>
          </w:p>
        </w:tc>
        <w:tc>
          <w:tcPr>
            <w:tcW w:w="7920" w:type="dxa"/>
            <w:vAlign w:val="bottom"/>
            <w:tcBorders>
              <w:top w:val="single" w:sz="8" w:color="CCEEFF"/>
              <w:bottom w:val="single" w:sz="8" w:color="CCEEFF"/>
            </w:tcBorders>
            <w:gridSpan w:val="11"/>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606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Deficit (Unaudited)</w:t>
            </w:r>
          </w:p>
        </w:tc>
        <w:tc>
          <w:tcPr>
            <w:tcW w:w="458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0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Borders>
              <w:top w:val="single" w:sz="8" w:color="CCEEFF"/>
            </w:tcBorders>
          </w:tcPr>
          <w:p>
            <w:pPr>
              <w:spacing w:after="0"/>
              <w:rPr>
                <w:sz w:val="15"/>
                <w:szCs w:val="15"/>
                <w:color w:val="auto"/>
              </w:rPr>
            </w:pPr>
          </w:p>
        </w:tc>
        <w:tc>
          <w:tcPr>
            <w:tcW w:w="4920" w:type="dxa"/>
            <w:vAlign w:val="bottom"/>
            <w:tcBorders>
              <w:top w:val="single" w:sz="8" w:color="0000EE"/>
            </w:tcBorders>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16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 Legal Proceedings</w:t>
            </w:r>
          </w:p>
        </w:tc>
        <w:tc>
          <w:tcPr>
            <w:tcW w:w="818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w:t>
            </w:r>
          </w:p>
        </w:tc>
        <w:tc>
          <w:tcPr>
            <w:tcW w:w="668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74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Exhibit Index</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000" w:type="dxa"/>
            <w:vAlign w:val="bottom"/>
            <w:tcBorders>
              <w:top w:val="single" w:sz="8" w:color="CCEEFF"/>
              <w:bottom w:val="single" w:sz="8" w:color="auto"/>
            </w:tcBorders>
            <w:gridSpan w:val="3"/>
          </w:tcPr>
          <w:p>
            <w:pPr>
              <w:jc w:val="center"/>
              <w:ind w:right="4240"/>
              <w:spacing w:after="0"/>
              <w:rPr>
                <w:sz w:val="20"/>
                <w:szCs w:val="20"/>
                <w:color w:val="auto"/>
              </w:rPr>
            </w:pPr>
            <w:r>
              <w:rPr>
                <w:rFonts w:ascii="Times New Roman" w:cs="Times New Roman" w:eastAsia="Times New Roman" w:hAnsi="Times New Roman"/>
                <w:sz w:val="18"/>
                <w:szCs w:val="18"/>
                <w:color w:val="auto"/>
                <w:w w:val="78"/>
              </w:rPr>
              <w:t>i</w:t>
            </w: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138,601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58,729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50,862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671,804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671,804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1,173,901</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583,096</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 related parties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59,995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2,095,163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 –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358,756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526,701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340,639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361,045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488,426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47,177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47,177</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3,330,161</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2,823,634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2,467,046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2,857,597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166,268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515,664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advisory fee – related party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1,757,141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366,306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480,422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restricted stock tax withholdings obligations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7,208,666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2,769,482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1,702,877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745,118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4,304,110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4,892,059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net of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5,952,066</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72,348</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71,131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16,287,621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20,040,681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273,705</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290,682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16,561,326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20,331,363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were issued and outstanding as of</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24,825,211 and 21,990,688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696,970 shares and 302,766 shares of common stock at March 31, 2026 and December 31, 2025,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(6,077,719)</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(2,706,307)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114,418,658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97,951,035</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(121,574,587)</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(112,754,655)</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(13,231,165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(17,507,729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3,330,161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2,823,634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1,286,336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1,188,220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488,709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2,732,397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17,397,774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fees – related parties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1,360,000</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11,737,806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7,055,662</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31,940,832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(7,055,662)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(31,900,842)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5,196</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47,123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(192,165)</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(167,951)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(982,624)</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(308,922)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(644,601)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derivative liability</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(8,819,932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(32,326,016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stock outstanding during the period -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23,293,453</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18,135,317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62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20"/>
                <w:szCs w:val="20"/>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18,090,526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45,101,675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(50,608,445)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727,750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10,252,425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10,252,498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advisory services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557,055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557,060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17,397,774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17,397,774</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(32,326,016)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(32,326,016)</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19,026,776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73,308,913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CCEEFF"/>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(82,934,461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2"/>
        </w:trPr>
        <w:tc>
          <w:tcPr>
            <w:tcW w:w="3140" w:type="dxa"/>
            <w:vAlign w:val="bottom"/>
          </w:tcPr>
          <w:p>
            <w:pPr>
              <w:spacing w:after="0"/>
              <w:rPr>
                <w:sz w:val="21"/>
                <w:szCs w:val="21"/>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21,990,688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97,951,035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302,766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(2,706,307)</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(112,754,655)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(17,507,729)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 advisory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Restricted share grants released from</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937,347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 equity line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76,648</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663,719</w:t>
            </w:r>
          </w:p>
        </w:tc>
        <w:tc>
          <w:tcPr>
            <w:tcW w:w="11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663,727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 private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1,815,528</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7,814,463</w:t>
            </w:r>
          </w:p>
        </w:tc>
        <w:tc>
          <w:tcPr>
            <w:tcW w:w="11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7,814,645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for private placement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5,257,138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5,257,138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2,732,398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effect related to net share settlement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equity awards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394,204</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(3,371,412)</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(3,371,412)</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(8,819,932)</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(8,819,932)</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24,825,211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114,418,658</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696,970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(6,077,719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(121,574,587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(13,231,165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680" w:type="dxa"/>
            <w:vAlign w:val="bottom"/>
          </w:tcPr>
          <w:p>
            <w:pPr>
              <w:spacing w:after="0"/>
              <w:rPr>
                <w:sz w:val="20"/>
                <w:szCs w:val="20"/>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3"/>
        </w:trPr>
        <w:tc>
          <w:tcPr>
            <w:tcW w:w="86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(8,819,932)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(32,326,016)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original issue discount on bridge loans - related party</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original issue discount on convertible promissory note</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714,600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 - patent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11,574</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20,406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based compensation - restricted stock</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2,732,397</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17,397,774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change in fair value of derivative liability</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192,165</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577,192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(650,800)</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(765,738)</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(290,108)</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Lease liability</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(15,760)</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advisory fee</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(1,757,141)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8,828,565</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(390,550)</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 – related parties</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(463,513)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628,276</w:t>
            </w:r>
          </w:p>
        </w:tc>
      </w:tr>
      <w:tr>
        <w:trPr>
          <w:trHeight w:val="229"/>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1,437,582</w:t>
            </w:r>
          </w:p>
        </w:tc>
        <w:tc>
          <w:tcPr>
            <w:tcW w:w="2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(6,991,773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(5,650,055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 net of costs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11,324,372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 PIPE financing</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13,071,783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loan</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loan</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OID loan</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(6,666,667)</w:t>
            </w:r>
          </w:p>
        </w:tc>
        <w:tc>
          <w:tcPr>
            <w:tcW w:w="2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pursuant to equity purchase agreement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666,528</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7,071,645</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11,024,372</w:t>
            </w:r>
          </w:p>
        </w:tc>
        <w:tc>
          <w:tcPr>
            <w:tcW w:w="10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79,872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5,374,317</w:t>
            </w:r>
          </w:p>
        </w:tc>
      </w:tr>
      <w:tr>
        <w:trPr>
          <w:trHeight w:val="234"/>
        </w:trPr>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58,729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64,893</w:t>
            </w:r>
          </w:p>
        </w:tc>
      </w:tr>
      <w:tr>
        <w:trPr>
          <w:trHeight w:val="210"/>
        </w:trPr>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138,601</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5,439,210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OID loan payment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2,666,667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litigation settlement payment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112,921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discount on bridge loan - related party</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333,591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issued in connection with advisory services</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557,060</w:t>
            </w:r>
          </w:p>
        </w:tc>
      </w:tr>
      <w:tr>
        <w:trPr>
          <w:trHeight w:val="216"/>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deferred offering costs to APIC at the completion of the offering</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1,391,580</w:t>
            </w:r>
          </w:p>
        </w:tc>
      </w:tr>
      <w:tr>
        <w:trPr>
          <w:trHeight w:val="432"/>
        </w:trPr>
        <w:tc>
          <w:tcPr>
            <w:tcW w:w="852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85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Liquidity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NeOnc Technologies, Inc. (“NTI”) was incorporated on April 13, 2005, as a California corporation. On April 7, 2023, NTI merged into NeOnc Technologies Holdings, Inc. (“NTHI” and the combined entities “NeOnc” or the “Company”). NTHI was incorporated January 5, 2023, as a Delaware Corporation.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6, 2025, the Company incorporated NuroMENA Holdings Ltd. (“NuroMENA”), which is a wholly-owned subsidiary of NTHI established as part of the United Arab Emirates structure to oversee regional clinical operations, partnerships, and innovation in the Middle East and North Africa. NuroMENA was inactive through March 31,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18, 2025, the Company executed a Share Exchange Agreement with Dr. Ishwar K. Puri and Beth R. Levinson, acquiring 100% of the membership interests of JandB, which became a wholly-owned subsidiary of the Company. The 120,000 shares of common stock to be issued under the Share Exchange Agreement were not issued as of March 31, 2026.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NeOnc is the developer of a novel molecular technology that provides enhanced targeted delivery of technologies for treating central nervous system diseases. The Company’s lead products include NEO100 and NEO212. NEO100 is in clinical trials treating glioblastoma and has Orphan Drug and Fast Track designation from the United States Food and Drug Administration (“FDA”). NEO212 is an oral chemical conjugate combining NEO100 with temozolomide, the current standard of care for glioblastoma, and has received FDA authorization to proceed with Phase 2a/2b clinical trials. The Company licensed the underlying technology from the University of Southern California. (“USC”).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a broker dealer to serve as placement agent and provide broker services in connection with the proposed sale of common stock up to $10,000,000. Under this agreement, through December 31, 2024, the Company closed on commitments from investors to purchase 625,000 shares of common stock of the Company at $16.00 per share for total commitments of $10,000,000, which were to be held in escrow until the Company’s registration statement was declared effective. From January 1 to March 10, 2025, prior to the Company having an effective registration statement, the Company closed on an additional commitment to purchase 102,750 shares of common stock of the Company at $16.00 per share, for total commitments of $1,644,000, On March 10, 2025, the Company’s registration statement was declared effective at which time the $11,644,000 in escrow was released to the Company. On March 26, 2025, the Company was listed (“Listing”) on the Nasdaq Global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is a going concern, which contemplates, among other things, the realization of assets and satisfaction of liabilities in the normal course of business. At March 31, 2026, the Company had cash totaling $138,601. For the three months ended March 31, 2026, the Company incurred a net loss of $8,819,932, and the Company had an accumulated deficit of $121,574,587 at March 31, 2026.</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financed its working capital requirements to date primarily through the sale of common stock, stockholder loans and related party bridge loans. In January 2026, the Company entered into a series of related Securities Purchase Agreements providing for the issuance of up to an aggregate of 2,222,222 shares of common stock and warrants to purchase up to 2,222,222 shares of common stock for gross proceeds of approximately $16 million. As of March 31, 2026, the Company had completed closings under these agreements for an aggregate of 1,815,528 shares of common stock and warrants to purchase 1,815,528 shares of common stock, resulting in gross proceeds of approximately $13.1 million (see Note 7).</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have sufficient available capital to fund operations for a period of one year from the issuance date of these financial statements. Although the Company has established agreements with several potential funding sources (see Notes 8 and 10), the Company does not know whether additional financing will be available when needed, whether it will be available on favorable terms, or if it will be available at all. These factors raise substantial doubt regarding the Company’s ability to continue as a going concern one year from the issuance date of this Form 10-Q. The financial statements do not include any adjustments that might result from the outcome of this uncertainty.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actively taking steps to mitigate the substantial doubt about the Company’s ability to continue as a going concern, including pursuing additional financing. If the Company is unable to obtain additional capital and continue as a going concern, it may have to further scale back operations or liquidate its assets and cease operations entirely, and the values received for assets in liquidation or dissolution could be significantly lower than the values reflected in these financial statements. Accordingly, these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biopharmaceutical companies, including, but not limited to, new technological innovations, dependence on key personnel, protection of proprietary technology, compliance with government regulations, product liability, and the uncertainty of market acceptance of products and the potential need to obtain additional financing. The Company is dependent on third-party suppliers and, in some cases, single-source suppliers. The Company’s products require approval or clearance from the FDA prior to commencing commercial sales in the United States. Approvals or clearances are also required in foreign jurisdictions where the Company may license or sell its products. There can be no assurance that the Company’s products will receive all required approvals or clearances.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Company’s products, if approved, will be accepted in the marketplace, nor can there be any assurance that any future products can be developed or manufactured at an acceptable cost with appropriate performance characteristics or that such products will be successfully marketed,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disclosure rules and regulations of the Securities and Exchange Commission (“SEC”), and reflect all adjustments consisting only of normal recurring adjustments of the Company, which are, in the opinion of management, necessary for a fair presentation of the financial position as of March 31, 2026 and December 31, 2025, and the results of operations and cash flows for the three months ended March 31, 2026 and 2025. Any reference in these notes to applicable guidance is meant to refer to GAAP as found in the Accounting Standards Codification (“ASC”) and Accounting Standards Updates (“ASU”) promulgated by the Financial Accounting Standards Board (“FASB”).</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herein have been prepared by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March 31, 2026, and for the three months ended March 31, 2026 and 2025, is unaudited, whereas the condensed consolidated balance sheet as of December 31, 2025, is derived from the Company’s audited consolidated financial statements as of that date. These condensed consolidated financial statements and notes hereto should be read in conjunction with the consolidated financial statements and notes thereto included in the Company’s Annual Report on Form 10-K for the year ended December 31, 2025, filed with the SEC on March 31, 2026.</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results to be expected for any other interim period or for the year.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to the consolidated financial statements include the accounts of the Company and its wholly owned subsidiaries.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preparing the Company’s condensed consolidated financial statements in conformity with GAAP, management is required to make estimates and assumptions that affect the reported amounts of assets and liabilities and disclosures of contingent assets and liabilities at the date of the consolidated financial statements, as well as the reported amounts of revenues and expenses during the reporting period. Significant estimates reflected in these consolidated financial statements include, but are not limited to, the valuation of stock-based compensation awards, the valuation of warrants, the completeness and accuracy of clinical and pre-clinical trial accruals, and the operating lease right-of-use (“ROU”) assets and operating lease liability.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Off-Balance Sheet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from time to time during the period covered by these condensed consolidated financial statements, may have cash balances deposited at major financial institutions exceeding the federally insured limit. The Company regularly monitors the financial condition of the institutions in which it has depository accounts and believes the risk of loss is minimal. The Company has not experienced any losses in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are comprised of deposits at major financial banking institutions and highly liquid investments with an original maturity of three months or less at the date of purchase. As of March 31, 2026 and December 31, 2025, the Company had money market funds of approximately $90,000 and $2,000,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If planned offerings are terminated, the related capitalized deferred offering costs are written off.</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Offering costs consist principally of professional and registration fees incurred through December 31, 2024, that were related to the planned public offering of its securities. These costs had been capitalized and upon the completion of the securities offering were recorded as additional paid-in capital (see Note 8). At March 31, 2026, costs incurred in connection with the equity purchase agreement have been charged against additional paid-in capital (see Note 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Debt issuance costs represent costs directly attributable to warrants issued for a line of credit commitment by a related party. Such costs represent the fair value of warrants issued to the debt facility provider and are amortized to the statement of operations on a straight-line basis over the term of the commitment period, as no borrowings have occurred under the facility and an effective interest rate cannot be determined. Prior to the Company drawing on the line of credit, unamortized debt issuance costs are classified as a long-term other asset, consistent with ASC 835-30-45-3, which requires presentation of issuance costs related to unused credit facilities as an asset rather than as a deduction from a liability. Once the Company begins to draw funds under the facility, a pro-rata portion of the deferred issuance costs, based on the ratio of amounts borrowed to the total facility capacity, is reclassified as a contra-debt balance and subsequently amortized as an adjustment to interest expense over the remaining term of the borrowing.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Intangible assets acquired in an asset acquisition are initially recognized at their fair value on the acquisition date. Intangible assets that have not yet been placed in service are not amortized; rather, they are tested for impairment annually, and more frequently when events or changes in circumstances indicate that it is more likely than not that the asset is impaired. Once placed in service, intangible assets with finite useful lives are amortized on a straight-line basis over their estimated useful lives and are reviewed for impairment whenever events or changes in circumstances indicate that the carrying amount of an asset may not be recoverable.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placed into service an intangible asset with a carrying value of approximately $500,000 that was acquired in October 2025. The Company has determined the estimated useful life of the intangible assets to be 18 years. Amortization expense for the three months ended March 31, 2026 was $11,574 and is included in general and administrative expense in the condensed consolidated statements of operations. No impairment was recognized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whenever events or changes in circumstances indicate that the carrying amount of an asset may not be recoverable. Recoverability of assets to be held and used is measured by a comparison of the carrying amount of an asset to the future undiscounted net cash flows expected to be generated by the asset. If the carrying amount is not fully recoverable, an impairment loss is recognized to reduce the carrying amount to fair value and is charged to expense in the period of impairment. During the three months ended March 31, 2026 no impairments were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the terms of warrants issued and determines if the instrument requires liability or equity accounting classification under ASC 815: Derivatives and Hedging and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 Topic 842, Leases, (“ASC 842”) requires a lessee to recognize a right-of-use (“ROU”) asset and corresponding lease liability on the balance sheet for all leases with a term longer than 12 months. Leases will be classified as finance or operating, with classification affecting the pattern and classification of expense recognition in the consolidated statements of operations as well as the reduction of the ROU asset.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Operating lease ROU assets and the related lease liabilities are recognized based on the present value of the future minimum lease payments over the lease term at commencement date. The operating lease ROU assets also include lease incentives and initial direct costs incurred. For operating leases, interest on the lease liability and the amortization of ROU asset result in straight-line rent expense over the lease term. Leases may include options to extend or terminate the lease which are included in the ROU operating lease assets and operating lease liability when they are reasonably certain of exercise. Non-lease components are paid separately from rent based on actual costs incurred. Therefore, these costs are not included in the right-of-use asset and lease liability and are reflected as an expense in the period incurred. Operating lease expense associated with minimum lease payments is recognized on a straight-line basis over the lease term. The Company has an operating lease. This lease is recorded as an operating lease and has recognized, right of use (ROU) assets and operating lease liabilities on the accompanying consolidated balance sheets.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the methods used to measure fair value and the expanded disclosures about fair value measurements. Fair value is the price received to sell an asset or paid to transfer a liability in an orderly transaction between the buyer and the seller at the measurement date. In determining fair value, the valuation techniques consistent with the market approach, income approach and cost approach shall be used to measure fair value. ASC 820 establishes a fair value hierarchy for inputs, representing the assumptions the buyer and seller use in pricing the asset or liability. These inputs are further defined as observable and unobservable inputs. Observable inputs are those that the buyer and seller would use in pricing the asset or liability based on market data obtained from sources independent of the Company. Unobservable inputs reflect the Company’s assumptions about the inputs the buyer and seller would use to price the asset or liability developed based on the best information available in the circumstances.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money market funds are valued at quoted prices in active markets and are classified as Level 1 within the fair value hierarchy. The notes payable – related party was reported at fair value (Level 3) as the Company elected the fair value option for such a note (see Note 4) prior to its extinguishment. The carrying value of the Company’s accounts payable and accounts payable – related parties approximates its fair value because of the short-term nature of these consolidated financial instruments.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hierarchy is categorized into three levels based on the inputs as follows: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the valuation of these securities does not entail a significant degree of judgment.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the market through correlation or other means.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unobservable inputs and significant to the overall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Accounting Standards Codification Topic 606, Revenue from Contracts with Customers (“ASC 606”). Under ASC 606, revenue is recognized when a customer obtains control of promised goods or services in an amount that reflects the consideration the Company expects to receive in exchange for those goods or services.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historically generated limited revenue from fees received in connection with compassionate use to its lead investigational drug candidate, NEO100. The Company recognizes such revenue at a point in time, upon delivery to the requesting party, as the Company has no further performance obligations following delivery.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revenue during the three months ended March 31, 2026. During the three months ended March 31, 2025, the Company recognized point-in-time revenue of $39,990 for the right to try its technology in compassionate use cases for which the Company has no further performance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personnel costs associated with research and development activities, including third-party contractors performing research, conducting clinical trials, and manufacturing drug supplies and materials. Based on the timing of payments to service providers, the Company may also record prepaid expenses for those service providers that will be recognized as expenses in future periods as the related services are rendered. Research and development costs may be offset by research grants and research and development refundable tax rebates received by the Company.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filing and prosecuting patent applications are expensed as incurred due to the uncertainty about the recovery of the expenditure. Amounts incurred are classified as legal and professional expenses in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Government Grants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grant income through grants from government organizations. As there is no authoritative guidance under U.S. GAAP on accounting for grants to for-profit business entities from government entities, the Company accounts for government assistance by applying the principles of International Accounting Standards Topic 20, Accounting for Government Grants and Disclosure of Government Assistance (“IAS 20”). Under IAS 20, government grants are recognized when there is reasonable assurance that the grant will be received and that all conditions related to the grant will be met.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Grant income is recognized in other income (expense) in the period in which the reimbursable research and development services are incurred and the right to payment is realized. The income from NIH grants are based upon subcontractor costs and internal costs incurred that are specifically covered by the grants, plus a facilities and administrative rate that provides funding for overhead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Receivables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Grant receivables relate to outstanding amounts due for reimbursable expenditures of awarded grants issued by the National Institute of Aging (“NIA”) a division of the National Institutes of Health (“NIH”) and are carried at their estimated collectible amounts. The amounts were billed in the month subsequent to period end and collected shortly thereafter. The Company expects all receivables to be collectible, and accordingly, there is no allowance for doubtful accounts required on these grant receivables. Grant receivables are included in prepaid expenses and other current assets in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granted stock options and common stock to employees, non-employee consultants and non-employee members of our Board of Directors. The Company measures the compensation cost associated with all stock-based payments based on the grant date fair values. Compensation costs associated with grants of common stock are measured at fair value at the date of grant, which has historically been the most recent price paid by investors to purchase shares of the Company’s common stock prior to such grant. The Company recognizes stock-based compensation expense on a straight-line basis over the requisite service period of each award, which generally equals the vesting period for awards that contain only service conditions. If the stock grant is contingent upon events that have not yet happened, then the grant is not considered issued. If an award holder leaves the company prior to vesting, and adjustment of the compensation expense will be made to reflect only those awards that vested.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stock-based compensation expense for the shares of restricted stock based upon the fair value of the common stock at the date of the grant. The expense is recognized over the service period provided in the restricted stock awards, however expense was not recognized prior to the listing date (“Listing Date”), as prior to such date it was not probable that condition to commence vesting would be met.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vesting contingency is met, the Company will commence to recognize expense related to the restricted stock. For time based vested restricted stock, the expense will be recognized on a straight-line basis from the grant date to the last vesting date. The expense recognized will include the expense from the date of the grant over the total vesting period and reflect the portion attributable to the service provided prior to the listing. For performance based restricted stock, the Company will determine the probability of the contingency being met each quarter end based upon an assessment of progress made under such performance criteria.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stockholders by the weighted average number of common stock outstanding during the period. Diluted net loss per share is computed by dividing net loss by the sum of the weighted average number of common stock outstanding during the period. For periods in which the Company reports a net loss, the diluted net loss per share is the same as basic net loss per share.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there were 1,404,043 unvested shares of restricted stock and 1,965,528 warrants outstanding, which were not included in the calculation of diluted net loss per share because their inclusion would have been anti-dilutive. For the three months ended March 31, 2025, there were 3,110,000 shares of unvested restricted stock and 150,000 warrants outstanding, which were not included in the calculation of diluted net loss per share because their inclusion would have been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federal, state, and foreign current tax liabilities or assets based on its estimate of taxes payable to or refundable by tax authorities in the current fiscal year. For the three months ended March 31, 2026 and 2025, there is no current tax provision due to losses generated. The Company also recognizes federal and state deferred tax liabilities or assets based on the Company’s estimate of future tax effects attributable to temporary differences and carry forwards. Deferred tax assets and liabilities are measured using enacted tax rates expected to apply to taxable income in the years those temporary differences are expected to be recovered or settled.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quarterly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 The difference between the statutory and effective rates for the three months ended March 31, 2026 and 2025 is a result of the Company applying a full valuation allowance against any deferred tax assets as a result of net operating losses due to uncertainties surrounding the usability of such net operating losses. The ability to utilize such net operating loss carry forwards may be limited due to possible changes in ownership as defined under Internal Revenue Code section 382.</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 likely than not to be sustained upon audit by the relevant taxing authority. An uncertain income tax position will not be recognized if it is less than 50% likely to be sustained. Uncertain tax positions are recognized in the first subsequent financial reporting period in which that threshold is met or from changes in circumstances such as the expiration of applicable statutes of limitations. The Company will recognize interest and penalties related to tax positions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follows Financial Accounting Standards Board (“FASB”)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standard expands reportable segment disclosure requirements for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primarily through enhanced disclosures about significant segment expenses that are regularly provided to the chief operating decision maker (“CODM”) and included within each reported measure of segment profit (referred to as the “significant expense principle”). The Company operates in a single segment – biotechnology research.</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reclassifications of previously reported amounts have been made to conform to the current year presentation. Such reclassifications did not impact net income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(DISE)</w:t>
      </w:r>
      <w:r>
        <w:rPr>
          <w:rFonts w:ascii="Times New Roman" w:cs="Times New Roman" w:eastAsia="Times New Roman" w:hAnsi="Times New Roman"/>
          <w:sz w:val="18"/>
          <w:szCs w:val="18"/>
          <w:color w:val="auto"/>
        </w:rPr>
        <w:t>, which specifies additional disclosure requirements. The new guidance requires additional disclosures, including the composition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line items (such as purchases of inventory, employee compensation, and “other expenses”) and a separate disclosure for selling expenses. This change is effective for fiscal years beginning after December 15, 2026, and interim periods beginning after December 15, 2027, however, early adoption is permitted. The Company is currently evaluating the impact that the adoption of ASU 2024-03 will have on the consolidated financial statements and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tax-related disclosures. As an emerging growth company that has elected the extended transition period, ASU 2023-09 is effective for the Company for fiscal years beginning after December 15, 2025. The Company is currently evaluating the impact ASU 2023-09 will have on its consolidated financial statements and related disclosures.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accounting pronouncements adopted during the three months ended March 31, 2026 that had a material effect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Intangible asset – Patent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2025, the Company paid $500,000 to McMaster University pursuant to a Patent Purchase Agreement, and the Patent was formally assigned effective October 8, 2025. The acquisition was evaluated and determined to be an asset acquisition rather than a business combination, as substantially all of the fair value of the gross assets acquired is concentrated in the single identifiable asset. No other assets, liabilities, employees, or facilities were acquired in connection with this agreement. The Patent is recorded at $500,000, representing the total cash consideration paid to McMaster University, and is included in intangible assets in the accompanying condensed consolidated balance sheets.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January 1, 2026, the Company placed the Patent into service and began amortizing it on a straight-line basis over its estimated useful life of 18 years, based on the remaining patent term. Amortization expense related to the Patent is recorded in general and administrative expense in the condensed consolidated statements of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carrying amount of the Patent as of March 31, 2026 and December 31, 2025: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(11,574)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$11,574 and $0 for the three months ended March 31, 2026 and 2025, respectively. Estimated future amortization expense related to the Patent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20,833</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27,778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27,778</w:t>
            </w: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356,481</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AFH Holdings and Advisory, LLC advisory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19, 2022, the Company entered into an advisory agreement with AFH Holdings and Advisory, LLC (“AFH”), an entity owned and controlled by Amir Heshmatpour, the Company’s Executive Chairman and Chief Executive Officer, to assist the Company in connection with its intent to affect a public listing. AFH was retained to assist the Company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12, 2024, the Company amended the AFH advisory agreement section to allow for an upfront payment on the Listing Date of $2,500,000 and the remaining amount of the fee to be paid in equal monthly installments for one year. AFH was paid a fee of $500,000 as consideration for entering into the amendment, which is included in advisory fees in the accompanying consolidated statements of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26, 2025, and as a result of the listing of the Company on Nasdaq, the Company incurred $11,328,565 for the fee earned in accordance with the AFH advisory agreement which was recorded as advisory fee expense in the accompanying consolidated statements of operations. In accordance with the amendment, the Company paid $2,500,000 of such fee on March 26, 2025, and paid an additional $7,071,424 in the monthly installments from April through December 2025. The remaining outstanding accrued advisory fee of $1,757,141 was paid in full in January 2026. Accordingly, there was no accrued advisory fee – related party balance outstanding as of March 31, 2026.</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incurred and paid additional advisory fee expense of $1,360,000 to AFH for advisory services related to the Company’s capital financing arrangements pursuant to the Letter of Intent (“LOI”) dated December 19, 2022. There was no comparable advisory fee expense incurred during the three months ended March 31, 2025 other than the $11,328,565 Nasdaq listing fee described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advanced to our Chief Executive Officer and Executive Chairman in excess of reimbursable expenses totaled $59,995 as of March 31, 2026, which are included within prepaid expenses – related parties on the condensed consolidated balance sheets. As of December 31, 2025, reimbursable expenses payable to AFH totaled $351,302, which was included within accrued advisory fee – related party on the condensed consolidated balance sheets.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agreed to retain AFH as an exclusive advisor to the Company on all financing and mergers and acquisitions for a period of two years from the closing of the private securities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the University of Southern California</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Dr. Thomas Chen, the Company’s founder, Chief Medical Officer, and Chief Scientific Officer, is a tenured Professor of Neurosurgery and Pathology and the Director of Surgical Neuro-Oncology at the USC.</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license agreement with USC, under which the Company will pay USC an annual patent maintenance fee of $20,000 and nonrefundable earned royalties of 4% on Net Sales (as defined in the Amended Agreement) of Licensed Products covered by the licensed patents in all countries in which the manufacture, use, sale, offer for sale, or import of such Licensed Products, as such capitalized terms are defined in the Amended Agreement. To date, no sales have been made using Licensed Products, and no royalties are due to USC. In addition, the Company will assume responsibility for patent-related costs.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laboratory and patent maintenance services from the University of Southern California (“USC”). For the three months ended March 31, 2026 and 2025, the Company incurred $38,409 and $103,224, respectively, of expenses related to such services, of which $0 and $82,224, respectively, are recorded within research and development expenses, and $38,409 and $21,000, respectively, are recorded within general and administrative expenses in the condensed consolidated statements of operations. As of March 31, 2026 and December 31, 2025, the Company had accrued laboratory and patent maintenance fees payable to USC of $361,535, which are included within accrued expenses – related parties in the condensed consolidated balance sheets.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conducts certain clinical trial activities at USC. These services are provided pursuant to clinical trial agreements entered into in the ordinary course of business on substantially the same terms and conditions as the Company’s agreements with non-related party clinical trial sites. As of March 31, 2026 and December 31, 2025, the Company had outstanding amounts payable to USC for clinical trial services of $171,039 and $283,250, respectively, which are included within accounts payable – related parties and accrued expenses – related parties in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accrued for the management team, including related payroll taxes, was $255,099 as of March 31, 2026 and December 31, 2025. There is no specified timetable for payment of such amounts.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5 – Related Party Loans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from Related Party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paid legal fees on behalf of HCWG LLC, which resulted in a receivable due from HCWG LLC totaling $138,247 as of March 31, 2026 and December 31, 2025, which is recorded within prepaid expenses and other current assets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 from Executive Chairman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2025, the Executive Chairman and CEO advanced the Company approximately $300,000. The advances carried a 50% (or 1 times amounts borrowed) original issue discount (“OID”) on the principal. On March 10, 2025, the outstanding balance of $600,000 was repaid. Interest expense of $300,000 was recognized in the condensed consolidated statements of operations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Convertible Debt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16 and July 18, 2025, the Company entered into a series of convertible promissory notes with a group of investors for the aggregate purchase price of $4,000,000 (the “Notes”). The Notes are payable three months from the date of issuance, with an aggregate face value of $5,000,000, reflecting a 20% original issue discount (“OID”). The Company has the option to extend the maturity date for up to three additional one-month periods. In the event of any such extension, the OID shall increase to 25%, 30%, and 35% for the first, second, and third extension periods, respectively. Further, upon the occurrence of an Event of Default, as that term is defined in the Notes, the Notes shall be convertible at the option of the holders into shares of the Common stock of the Company at a price equal to 80% of the lowest closing sale price of the Company’s common stock as reported on the Nasdaq Global Market on any trading day during the five (5) trading days prior to the respective conversion date. The Company also recorded debt issuance cost of $320,000 to be amortized as interest expense over the term of the loan.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ASU 2020-06, the Company accounts for the convertible notes as a single liability instrument. The notes are recorded at amortized cost, and interest expense is recognized using the effective interest method.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exercised the first three available extensions, thereby increasing the OID to 35%. On January 21, 2026, the Company and the holders entered into a Convertible Promissory Note Extension agreement (the “Extension”), which further extended the maturity date of the Notes to January 28, 2026 in exchange for an additional 5% OID, thereby increasing the OID to 40% and the aggregate face value of the Notes to $6,666,667. In January 2026, the Company repaid the full outstanding balance of $6,666,667 upon maturity, and the Notes were terminated.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Notes during the three months ended March 31, 2026:</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26"/>
        </w:trPr>
        <w:tc>
          <w:tcPr>
            <w:tcW w:w="10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00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 as of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5,952,066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issuance discount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714,601</w:t>
            </w:r>
          </w:p>
        </w:tc>
        <w:tc>
          <w:tcPr>
            <w:tcW w:w="80" w:type="dxa"/>
            <w:vAlign w:val="bottom"/>
          </w:tcPr>
          <w:p>
            <w:pPr>
              <w:spacing w:after="0"/>
              <w:rPr>
                <w:sz w:val="18"/>
                <w:szCs w:val="18"/>
                <w:color w:val="auto"/>
              </w:rPr>
            </w:pP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(6,666,667)</w:t>
            </w: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value as of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incurred total interest expense of $725,601 related to the Notes, which consists of $714,601 from the accretion of OID and $11,000 from the amortization of debt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its office facilities and has no financing leases. The Company previously leased office space under a 24-month operating lease that, as amended on November 27, 2024, expired on January 31,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2025, the Company entered into a 63-month lease for office space, which calls for a monthly base rent of $6,778, increasing at approximately 3% per annum. The lease liability was computed using an interest rate of 3.72%, and as of March 31, 2026, the lease has a remaining 51 months. In calculating the present value of future lease payments, the Company utilized its incremental borrowing rate based on the lease term. The Company’s non-lease components (e.g., common area maintenance, maintenance, consumables, etc.) are paid separately from rent based on actual costs incurred and, therefore, are not included in the right-of-use asset and lease liability and are reflected as an expense in the period incurred. Upon commencement of the lease, the Company recognized a right-of-use asset and corresponding operating lease liability of $412,129.</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reported a right-of-use asset of $340,639 and $361,045, respectively, and a lease liability of $346,053 and $361,813, respectively. The Company recorded lease expense of $21,688 and $24,722 during the three months ended March 31, 2026 and 2025, respectively, within general and administrative expenses on the condensed consolidated statements of operations. There were no short-term or variable lease costs during the three months ended March 31, 2026 or 2025. Cash paid for amounts included in the measurement of lease liabilities amounted to $20,335 and $25,000 during the three months ended March 31, 2026 and 2025,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expected maturities of lease liabilities for operating leases as of March 31, 2026:</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5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62,802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85,663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88,231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90,928</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38,857</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346,053</w:t>
            </w:r>
          </w:p>
        </w:tc>
        <w:tc>
          <w:tcPr>
            <w:tcW w:w="0" w:type="dxa"/>
            <w:vAlign w:val="bottom"/>
          </w:tcPr>
          <w:p>
            <w:pPr>
              <w:spacing w:after="0"/>
              <w:rPr>
                <w:sz w:val="1"/>
                <w:szCs w:val="1"/>
                <w:color w:val="auto"/>
              </w:rPr>
            </w:pPr>
          </w:p>
        </w:tc>
      </w:tr>
      <w:tr>
        <w:trPr>
          <w:trHeight w:val="197"/>
        </w:trPr>
        <w:tc>
          <w:tcPr>
            <w:tcW w:w="48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Less: current portion</w:t>
            </w:r>
          </w:p>
        </w:tc>
        <w:tc>
          <w:tcPr>
            <w:tcW w:w="50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(72,348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50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50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273,705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5060" w:type="dxa"/>
            <w:vAlign w:val="bottom"/>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8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8 – Common and Preferred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NTHI is authorized to issue 100,000,000 shares of common stock, par value $0.0001 per share and 10,000,000 shares of preferred stock, par value $0.0001 per share. As of March 31, 2026, no preferred shares have been issued. The board of directors is authorized, subject to any limitations prescribed by law, to provide for the issuance of shares of Preferred Stock in one or more series, and by filing a certificate pursuant to the applicable law of the State of Delaware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establish from time to time the number of shares to be included in each such series, and to fix the designation, powers, preferences, and rights of the shares of each wholly unissued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any series thereof, unless a vote of any such holders is required pursuant to the terms of any Preferred Stock Designation.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727,750 shares of common stock at a price of $16.00 per share for gross proceeds of $11,644,005 pursuant to a private placement of its securities, issued 46,000 shares as part of advisory services related to the listing and as part of the private placement fee for the equity line of credit, issued 162,500 shares for the cashless exercise of warrants, and released 3,110,000 shares for the vesting of shares of restricted stock.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instruments that required classification as a derivative liability. Accordingly, no derivative liability was recognized in the accompanying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 January 2026</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the Company entered into a securities purchase agreement (the “January 2026 PIPE”) pursuant to which the Company agreed to sell, in one or more closings, up to an aggregate of 2,222,222 shares of its common stock at a price of $7.20 per share, for aggregate gross proceeds of up to $16,000,000. In connection with the January 2026 PIPE, the Company also agreed to issue warrants to purchase up to 2,222,222 shares of common stock at an exercise price of $9.00 per share, exercisable for a period of 5 years from the date of issuance.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completed closings under the January 2026 PIPE for an aggregate of 1,815,528 shares of common stock and warrants to purchase 1,815,528 shares of common stock, resulting in gross proceeds of approximately $13,071,783. The remaining $2,928,217 of the aggregate $16,000,000 commitment, representing approximately 406,694 shares of common stock and warrants to purchase 406,694 shares of common stock, remained subject to subsequent closings under the agreement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Issued in Connection with the January 2026 PIPE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common stock under the January 2026 PIPE, each investor received warrants to purchase shares of common stock. The warrants have an initial exercise price of $9.00 per share and a contractual term of 5 years from the date of issuance. The warrants contain a down-round protective provision pursuant to which, if the Company subsequently issues equity-linked instruments at an effective price below the then-current exercise price of the warrants, the exercise price of the warrants will be adjusted downward to match the lower issuance price. The Company evaluated the warrants under ASC 815-40. In performing this evaluation, the Company applied the guidance under ASU 2017-11, Accounting for Certain Financial Instruments with Down Round Features, which excludes down-round features from the assessment of whether an instrument is considered indexed to the Company’s own stock. Based on this evaluation, the Company determined that the warrants meet the criteria for classification as equity. Accordingly, the warrants have been recorded within additional paid-in capital.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aggregate proceeds of $13,071,783 received during the three months ended March 31, 2026 from closings under the January 2026 PIPE were allocated between the common stock and the warrants using the relative fair value method, resulting in $7,814,645 allocated to common stock and $5,257,138 allocated to warrants, each recorded within additional paid-in capital. The fair value of the common stock and warrants was measured separately at each individual issuance date during the period from January 29, 2026 through March 20, 2026, reflecting the market conditions and valuation inputs on each respective issuance date. The fair value of the warrants at each measurement date was determined using a Monte Carlo Simulation model that incorporates the down-round protective provision and management’s expectations regarding future financing events that could trigger the provision. At each measurement date, the aggregate modeled fair value of the common stock and warrants was reduced by an implied calibration discount, which equates the modeled fair value of the units to the cash proceeds received at that closing.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Key assumptions used in the Monte Carlo Simulation valuation of the warrants at each measurement date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Risk-Free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Warrant</w:t>
            </w:r>
          </w:p>
        </w:tc>
      </w:tr>
      <w:tr>
        <w:trPr>
          <w:trHeight w:val="238"/>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Stock Price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Expected Term</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Borders>
              <w:bottom w:val="single" w:sz="8" w:color="CCEEFF"/>
            </w:tcBorders>
          </w:tcPr>
          <w:p>
            <w:pPr>
              <w:spacing w:after="0"/>
              <w:rPr>
                <w:sz w:val="20"/>
                <w:szCs w:val="20"/>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 years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4,242,144</w:t>
            </w:r>
          </w:p>
        </w:tc>
        <w:tc>
          <w:tcPr>
            <w:tcW w:w="10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3.5 years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16,889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49,145</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25, 2026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3.5 years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260,022</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3.5 years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69,444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200,016</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5, 2026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3.5 years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126,341</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March 20, 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3.5 years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138,889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379,472</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1,815,528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5,257,138</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 volatility was estimated based on the median observed daily equity volatility of a group of guideline public companies over a period commensurate with the adjusted term of the warrants, given the Company’s limited public trading history. The risk-free interest rate at each measurement date was based on the U.S. Treasury yield curve at that date, interpolated to match the adjusted term of the warrants.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no down-round adjustment to the exercise price of the warrants had been triggered, and the warrants remained outstanding with an exercise price of $9.00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 October 2024</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RBW Capital Partners LLC, a division of Dawson James Securities, Inc. (“Broker”) to serve as placement agent and provide broker services in connection with the possible sale of common stock up to $10 million. If a sale is made between the Company and any institutional or individual third-party funding source introduced by the placement agent, the Company will pay a placement fee of 8% of the gross proceeds. In addition, the company agrees to pay; (a) 1.0% of the gross proceeds for non-accountable expenses; and (b) out of pocket expenses plus the costs associated with the use of a third-party electronic road show service up to $10,000. The agreement expired on January 11, 2025 and was amended and restated on January 29, 2025 to extend the term for another six months through July 29, 2025 and increased the placement fee to 12% from 8% of the gross proceeds, and eliminated the 1% non-accountable expense fee. This agreement expired in July 2025.</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this agreement, through December 31, 2024, the Company closed on commitments from investors to purchase 625,000 shares of common stock of the Company at $16 per share for total commitments of $10,000,000, which were to be held in escrow until the Company’s registration statement was declared effective. During the three months ended March 31, 2025, prior to the Company having an effective registration statement, the Company closed on an additional commitment to purchase 102,750 shares of common stock of the Company at $16 per share, for total commitments of $1,644,005, also to be held in escrow until the Company’s registration statement was declared effective. On March 25, 2025, the Company’s registration statement was declared effective at which time the $11,644,005 in escrow was released to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agreement, the Company paid $300,000 in placement agent fees to the Broker for securing $2,500,000 in commitments for the private placement, which was recorded as a reduction to additional paid-in capital.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Advisory Services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3, 2024, as amended on January 23, 2025, the Company entered into an agreement with Broker, for financial advisory and investment banking services in connection with a direct listing of the Company’s common stock on the Nasdaq Global Market or other major US market. The agreement provides for a one-time fee of $250,000 payable three days after the direct listing and the issuance of 30,000 shares of common stock (which are restricted until the shares are registered by filing a resale S-1 within 30 days after the effective date of the direct listing). In addition, the Company agreed to pay up to $100,000 for fees and expenses of legal counsel and other out-of-pocket expenses plus the costs associated with the use of a third-party electronic road show service. Such fees were included in accounts payable and deferred offering costs in the accompanying consolidated balance sheets as of December 31, 2024. The fair value of the 30,000 shares issued in March 2025, amounting to $363,300, was determined using the closing day price of $12.11. This amount was recorded as an advisory fee on the consolidated statements of operations for the year ended December 31, 2025. The agreement expired on January 3, 2025 and was amended and restated on January 23, 2025 to extend the term for another six months through July 23, 2025. This agreement expired in July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22, 2024, the Company entered into an equity purchase agreement (the “Equity Purchase Agreement”) with Mast Hill Fund, LP (“Mast Hill”) pursuant to which the Company may sell and issue to Mast Hill, and the investor may purchase from the Company, up to $50,000,000 of Company’s common stock. Under the Equity Purchase Agreement, the Company has the right, but not the obligation, to direct Mast Hill, by its delivery to the Mast Hill of a Put Notice from time to time, to purchase Put Shares (i) in a minimum amount not less than $50,000 and (ii) in a maximum amount up to the lesser of (a) $750,000 or (b) 150% of the average trading volume of the Company’s common stock during the five trading days immediately preceding the Put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actual amount of proceeds the Company receives pursuant to each Put Notice (each, the “Put Amount”) is determined by multiplying the Put Amount requested by the applicable purchase price. The purchase price for each of the Put Shares equals 95% of the Market Price, (as defined below) less the Clearing Costs (as defined below). Market Price is the lowest volume weighted average prices of the Company’s common stock on its principal market on any trading day during the Valuation Period (as defined below).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of the Equity Purchase Agreement commenced on the effective date of the direct listing and will terminate on the earlier of (i) the date on which the Mast Hill shall have purchased Put Shares equal to the $50,000,000, (ii) twenty-four (24) months after the date of the Equity Purchase Agreement, (iii) written notice of termination by the Company to Mast Hill, (iv) this Registration Statement is no longer effective after the initial effective date of this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76,648 shares of common stock at prices ranging from $8.40 to $8.97 per share under the Equity Purchase Agreement, resulting in net proceeds of $663,727. Since the shares were purchased at a discount as a result of the five-day settlement period, the settlement feature is considered a derivative liability. Changes in the fair value of the derivative liability resulted in a gain on settlement of $2,801, which was recognized in the condensed consolidated statements of operations during the three months ended March 31, 2026. During the three months ended March 31, 2025, no transactions occurred under the Equity Purchase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agreement, we issued 16,000 shares of common stock to Mast Hill in March 2025. The fair value of the shares issued was determined by using the closing day price of $12.11 per share, resulting in a total value of $193,760, which has been recorded as additional paid-in capital in the consolidated balance sheets. As proceeds are received under the Equity Purchase Agreement, the related offering costs are reclassified as a reduction of additional paid-in capital.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12, 2023, the Company adopted the 2023 Equity Incentive Plan (the “2023 Plan”), which allows the issuance of up to 3,440,000 shares of the Company’s authorized and unissued common stock in the form of incentive stock options, non-qualified stock options, restricted stock units, performance share units, or other forms of equity as may be added in the future to employees, directors and consultants of the Company and its affiliates. The allowable number of shares that can be issued under the 2023 Plan increased upon the completion of the listing to 4,764,507 which represents 20% of the fully diluted capitalization of the Company on the closing of Company’s initial public price.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and February 2024, 2,460,000 and 200,000, respectively, shares of restricted stock were granted to the executive officers and members of the Board of Directors further to the 2023 Plan as described above. Of the total shares of restricted stock granted (tranche 1) 1,686,667 vest 100% seven months from the date that the Company lists on a national exchange, (tranche 2) 486,666 will vest in equal monthly instalments over a one (1) year period commencing on the eighth month from the effective date of the listing on a national exchange and (tranche 3) 486,666 are performance-based, the vesting of which will be predicated on certain financial and operational performance metrics being met after the effective date of the listing on a national exchange as set forth the grant agreements. Since tranche 3 is performance based, management has determined that it is not yet probable that all of the performance vesting conditions will be met and as such no expense has been recognized for tranche 3 as of March 31, 2026.</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23, 2024, 200,000 shares of restricted stock were granted to each of the CEO and the Executive Chairman, for a total of 400,000, and 100,000 granted to two members of the Board of Directors were canceled. These shares of restricted stock vest 100% seven months from the date the Company lists on a national exchange.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26, 2025, 150,000 shares of restricted stock were granted to the three board members, in the amount of 50,000 each. These shares of restricted stock vest 100% seven months from the date the Company lists on a national exchange.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March 26, 2025, the Company determined that no expense should be recognized for the shares of restricted stock since the contingency related to the commencement of vesting (i.e., the listing) of the shares of restricted stock had not been met. On March 26, 2025, the listing occurred, satisfying the contingency required for vesting to begin and defining the service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 2025, 300,000 shares of restricted stock were forfeited resulting in a reversal of $1,329,062 of shared based compensation during the year ended December 31,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5, 2025, 200,000 shares of restricted stock were granted to the one board member. 66,667 shares of restricted stock vest 100% seven months from the date of issuance, 66,667 shares of restricted stock vest 100% thirty-six months from the date of issuance. The remaining 66,666 shares of restricted stock vest thirty-six months from the date certain performance metrics are achieved.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24 and 25, 2025, 50,000 shares of restricted stock were granted to the five board members or advisors; of which 25,000 shares of restricted stock were vested immediately, remaining vest evenly over ten months after two-month delay.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6, 2025, 1,200,000 shares of restricted stock were granted to the CEO, 15,000 to the Chair of the Scientific Advisory Board, and 70,000 to an employee of the Company. 600,000 of the shares of restricted stock issued to the CEO will vest January 2, 2026 and the remaining vest evenly over twelve months commencing January 2, 2026. Of the 85,000 shares of restricted stock issued to the advisors, 42,500 will vest immediately and the remaining vest evenly over ten months commencing January 2026.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12, 2026, 170,000 shares of restricted stock were granted to the Chief Accounting Officer; of which 53,333 shares of restricted stock vested immediately upon grant, 58,333 shares of restricted stock vest on the first anniversary of the grant date, and 58,334 shares of restricted stock are performance-based. Since the performance-based tranche is subject to performance vesting conditions, management has determined that it is not yet probable that the performance vesting conditions will be met, and as such no expense has been recognized for this tranche as of March 31, 2026.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249,507 shares of restricted stock remained available for future issuance under the 2023 Plan.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determined the fair value of restricted stock granted during the three months ended March 31, 2026 and 2025 to be $1,599,700 and $1,815,500, respectively, based on the price of the most recent sale of common stock prior to each grant date for those shares of restricted stock granted prior to the listing date, or the quoted market value on the date of issuance for those shares of restricted stock granted after the listing date. For the three months ended March 31, 2026 and 2025, the Company recognized $2,732,398 and $17,397,774, respectively, of stock-based compensation expense, which is included in the condensed consolidated statements of operations. As of March 31, 2026, there was unamortized stock-based compensation of approximately $6,061,836, which the Company expects to recognize over approximately 2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related to restricted stock during the three months ended March 31, 2026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of Restricted Stock 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Stock Granted</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restricted stock at 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868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of restricted stock at March 31, 2026</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4,515,000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line="20" w:lineRule="exact"/>
              <w:rPr>
                <w:sz w:val="1"/>
                <w:szCs w:val="1"/>
                <w:color w:val="auto"/>
              </w:rPr>
            </w:pPr>
          </w:p>
        </w:tc>
      </w:tr>
      <w:tr>
        <w:trPr>
          <w:trHeight w:val="39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Vesting Activity of Restricted 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(937,347)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Unvested at March 31, 2026</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1,404,043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withheld 394,204 shares of common stock from recipients upon restricted stock vesting in order to cover their tax liabilities associated with such vesting events. The fair value of the shares withheld at the vesting date of $3,371,412 is reflected as a treasury stock transaction. As of March 31, 2026, the Company has not remitted the income taxes on behalf of the recipients, and therefore $6,077,719 is included in accrued restricted stock tax withholding obligations in the accompanying condensed consolidated balance sheets.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actively evaluating and implementing measures intended to remit the outstanding withholding tax obligations to the applicable taxing authorities as soon as practicable.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 of Credit Commitment – Related Party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11, 2024, the Company entered into a Line of Credit Agreement (“the Agreement”) with HCWG for borrowings of up to $10.0 million. Borrowings under the Line of Credit Agreement bear interest at 10.0% per annum and increases to 14% if the Agreement is extended. Interest payments are due on the first business day of each calendar month and the unpaid principal is due on October 12, 2027. No amounts have been borrowed under the facility through March 31, 2026.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the Company issued HCWG five-year warrants to purchase up to 312,500 shares of our common stock at an exercise price of $12.00 per share. These warrants expire on October 23, 2029. As of December 31, 2024, there were 312,500 warrants issued, outstanding and fully vested. In March 2025, 162,500 warrants were exercised in a cashless exercise, resulting in the issuance of 162,500 shares of common stock. At March 31, 2026, there are 150,000 shares of common stock remaining available to be purchased under the warrant.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warrants on the grant date was determined using the Black-Scholes valuation model, with the following key assumptions: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$12.00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86%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4.82%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2.5 years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warrants at inception was $2,015,413, which was recorded as additional paid-in capital on the consolidated statements of changes in stockholders’ deficit for the year ended December 31, 2024, and as debt issuance costs on the consolidated balance sheets. The debt issuance costs are being amortized over the term of the line of credit. Amortization of debt issuance costs amounted to $167,945 and $167,951 for the three months ended March 31, 2026 and 2025, respectively, and is included within interest expense in the condensed consolidated statements of operations. As of March 31, 2026 and December 31, 2025, unamortized debt issuance costs totaled $1,030,560 and $1,198,511, respectively, which will continue to be amortized through October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disputes, claims, liens, and litigation matters arising out of the normal course of business which could result in a material adverse effect on the Company’s combined financial position, results of operations, or cash flows. Liabilities for loss contingencies arising from claims, assessments, litigation, fines and penalties, and other sources are recorded when it is probable that a liability has been incurred and the amount of the assessment can be reasonably estimated. As of March 31, 2026 and December 31, 2025, the Company had no liabilities recorded for loss contingencies, except as described below.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License Agreement – Orient EuroPharma Co., Ltd.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 w:cs="Times New Roman" w:eastAsia="Times New Roman" w:hAnsi="Times New Roman"/>
          <w:sz w:val="18"/>
          <w:szCs w:val="18"/>
          <w:i w:val="1"/>
          <w:iCs w:val="1"/>
          <w:color w:val="auto"/>
        </w:rPr>
        <w:t>perillyl alcoho</w:t>
      </w:r>
      <w:r>
        <w:rPr>
          <w:rFonts w:ascii="Times New Roman" w:cs="Times New Roman" w:eastAsia="Times New Roman" w:hAnsi="Times New Roman"/>
          <w:sz w:val="18"/>
          <w:szCs w:val="18"/>
          <w:color w:val="auto"/>
        </w:rPr>
        <w:t>l (“Licensed Product”), in the territories specified in the license agreement (“Territory”).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The settlement agreement provides for interest accruing on the unpaid balance. The Company had a litigation settlement payable of $4,304,110 and $4,170,000 in the accompanying condensed consolidated balance sheets as of March 31, 2026 and December 31, 2025, respectively. As of the date of this filing, the Company has not paid the litigation settlement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IPLSA. This matter was settled on October 16, 2023, and the Company agreed to pay the vendor $600,000 within 5 business days of the close of the date that the Company completes an IPO or March 31, 2024, whichever occurs first.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31, 2024, the vendor agreed to extend the payment until May 15, 2024 for payment of an additional $25,000 payable on demand. On July 25, 2024, the arbitrator granted the implementation of interest at the statutory rate on the unpaid balance commencing May 15, 2024 until paid. Interest expense of $10,862 and $7,500 was recognized in the condensed consolidated statements of operations for the three months ended March 31, 2026 and 2025, respectively, related to this matter.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2026, the Company paid the IPLSA settlement in full, including accrued interest, for a total payment of $737,921. As of March 31, 2026, no litigation settlement payable related to this matter remained outstanding. As of December 31, 2025, the Company had a litigation settlement payable of $722,059 included within litigation settlement payable in the accompanying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2025, the Company was awarded a grant totaling $400,000 in gross proceeds from the National Institutes of Health (NIH). The grant is structured pursuant to the NIH Small Business Technology Transfer (STTR) program, which requires collaboration with a research institution, whereby 40% of the grant funds, or $160,000, net of subcontractor costs, is allocated to the Company and 60% is allocated to the Company’s academic research collaborator at USC. The Company’s portion of the grant proceeds is recognized as allowable expenses are incurred and reimbursed by the NIH. For the three months ended March 31, 2026, the Company incurred $25,250 of allowable expenses under the NIH grant.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Company was awarded a grant totaling approximately $1,007,000 in gross proceeds from the NIH. The grant is structured pursuant to the NIH STTR program, which requires collaboration with a research institution, whereby approximately 24% of the grant funds, or approximately $245,000, net of subcontractor costs, is allocated to the Company and the remainder is allocated to the Company’s academic research collaborator at USC. The Company’s portion of the grant proceeds is recognized as allowable expenses are incurred and reimbursed by the NIH. For the three months ended March 31, 2026, the Company incurred $21,873 of allowable expenses under the NIH grant.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$47,123 and $0, respectively, of grant income, which is included within interest and other income in the condensed consolidated statements of operations. As of March 31, 2026 and December 31, 2025, the Company had a grant receivable of $118,371 and $71,247, respectively, included within prepaid expenses and other current assets in the condensed consolidated balance sheets.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operates as a single operating segment: Biotechnology. The accounting policies of the Biotechnology segment are the same as those described in Note 1 – Summary of Significant Accounting Policies.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Amir Heshmatpour. The CODM uses net loss, as reported on our consolidated statement of operations, in evaluating the performance of the biotechnology segment and determining how to allocate resources of the Company as a whole, including investing in our research and development programs and acquisition/licensing strategy. The CODM does not review assets in evaluating the results of the biotechnology segment, and therefore, such information is not presented. The following supplemental information, which is regularly provided to the CODM, breaks down the research and development costs for the three months ended March 31, 2026 and 2025, respectively.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NEO100</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882,654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579,462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105,094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108,461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268,577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176,555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48,832</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10,275</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84,912</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4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fees – related parties</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11,737,806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1,188,220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957,545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expenses</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189,228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161,494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192,165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167,951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47,512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544,307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2,732,398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17,397,774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 expense</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251,968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143,684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982,624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308,922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derivative liability</w:t>
            </w:r>
          </w:p>
        </w:tc>
        <w:tc>
          <w:tcPr>
            <w:tcW w:w="4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644,601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4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(52,319)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(51,699)</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(8,819,932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(32,326,016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9, 2026, the Company’s Registration Statement on Form S-3 was declared effective by the Securities and Exchange Commission. The Registration Statement covers the potential offer and sale of up to $300,000,000 of the Company’s securities, which may include common stock, preferred stock, warrants, and units, from time to time on a delayed or continuous basis.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10, 2026, the Company entered into an Equity Distribution Agreement with BTIG, LLC and A.G.P./Alliance Global Partners (together, the “Agents”), pursuant to which the Company may offer and sell, from time to time through the Agents, shares of its common stock having an aggregate offering price of up to $75,000,000. Sales under the ATM Offering, if any, will be made at prevailing market prices on the Nasdaq Stock Market. The Company will pay each Agent a cash commission equal to 3.0% of the gross proceeds from sales made through such Agent. Shares offered and sold under the ATM Offering will be issued pursuant to the Company’s Registration Statement on Form S-3, which was declared effective on April 9, 2026, and the related prospectus supplement filed on April 10, 2026. As of the date these financial statements were issued, no shares of common stock have been sold under the ATM Offering. The Company intends to use any net proceeds from the ATM Offering for working capital and general corporate purposes.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20, 2026, the Company entered into a fourth Securities Purchase Agreement to issue and sell up to the remaining 406,694 Shares at the same per Share purchase price of $7.20 and Warrants to purchase up to 406,694 shares of Common Stock at the same per share exercise price of $9.00. The initial closing further to this fourth Securities Purchase Agreement took place on April 20, 2026, and consisted of the issuance of an aggregate of 277,777 Shares and Warrants to purchase 277,777 shares of Common Stock to one investor at a purchase price of approximately $2,000,000. This fourth Securities Purchase Agreement contains customary representations, warranties and agreements of the Company, customary conditions to closing and obligations of the parties, and the offering of Securities further to the fourth Securities Purchase Agreement terminates on April 30, 2026.</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30, 2026, the Board of Directors approved the acceleration of vesting for the Tranche 2 shares of restricted stock held by certain employees. As a result of the acceleration, the remaining unvested shares in an amount equal to 727,606 of restricted stock under the Tranche 2 awards became fully vested on April 30,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acceleration, the Company will recognize stock-based compensation expense of approximately $4,300,000 associated with the accelerated awards in the period of modification. The Company will also incur employer payroll tax obligations and facilitate statutory tax withholding on the vested shares through net share settlement, consistent with the Company's existing restricted stock administration practices.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thereto included elsewhere in this Quarterly Report on Form 10-Q, as well as our audited consolidated financial statements and related notes thereto and the discussion under “Management’s Discussion and Analysis of Financial Condition and Results of Operations” included in our Annual Report on Form 10-K for the year ended December 31, 2025 (the “Form 10-K”) filed with the Securities and Exchange Commission on March 31, 2026. In addition to historical financial information, this discussion and analysis contains forward-looking statements that involve risks, assumptions, and uncertainties, including statements of our plans, objectives, expectations, intentions, forecasts, and projections. Our actual results and the timing of selected events could differ materially from those discussed in these forward-looking statements as a result of several factors, including those set forth under Part I, Item 1A “Risk Factors” of the Form 10-K, which you should read carefully to gain an understanding of the important factors that could cause actual results to differ materially from our forward-looking statements. Capitalized terms used herein, but not otherwise defined, shall have the meaning ascribed to those terms in the “Part I - Financial Information,” including the related notes to the condensed consolidated financial statements contained therein.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Company (f/k/a NAS-ONC, Inc.) was formed in 2008, devoted to developing new drugs with new delivery modes. As a clinical-stage biopharmaceutical company, we have focused on establishing superior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NeOnc’s lead product candidate is NEO100. NEO100 is administered to patients via intranasal delivery. We have completed human safety testing in a Phase 1 clinical trial and are currently conducting preliminary efficacy testing in a Phase 2a trial with recurrent malignant glioma (Grade IV IDH1 mutant and Grade III Astrocytoma IDH1 mutant) patients. NeOnc is also developing a second product candidate, NEO212, which has completed preclinical testing, and an investigational new drug (IND) application has been filed and accepted with the United States Food and Drug Administration (FDA). The Company has started Phase 1 clinical trials with patients harbouring primary and secondary malignant brain cancer types. Several additional drug candidates are in the pipeline and are undergoing preclinical development.</w:t>
      </w:r>
    </w:p>
    <w:p>
      <w:pPr>
        <w:spacing w:after="0" w:line="18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 other than for humanitarian usage.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Joint Venture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2025, the Company (through its recently formed subsidiary – Nuromena Holdings Ltd. “NuroMena”) entered into a letter of intent to form an investment and joint venture agreement with a Middle-East investor (“Investor”), Quazar Investments. At the formation date, the Company would own 10 million shares of NuroMena and contribute a license to its technology to NuroMena, and the Investor will purchase 2.5 million shares of NuroMena for a subscription price of $400,000 (“Initial Investment”). Following the formation of the entity and closing of the Initial Investment, the Investor shall source one or more future investors to purchase up to $50.0 million at $25/share in common stock of the Company, of which 70% of the proceeds will be maintained by the Company and 30% will be transferred to an operating entity to be formed under NuroMena, to conduct clinical trials in the middle-east markets. As of the date of this filing, the Initial Investment has not yet occurred.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2025, the Company paid $500,000 to McMaster University pursuant to a Patent Purchase Agreement, and U.S. Patent No. 11,788,057 B2 (the “Patent”) was formally assigned effective October 8, 2025. The Patent covers proprietary technologies combining 3D bioprinting, artificial intelligence, and quantum modeling that are designed to enable the creation of patient-derived three-dimensional brain tumor models for high-throughput preclinical drug screening.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$8,819,932 and $32,326,016 for the three months ended March 31, 2026 and 2025, respectively. We had an accumulated deficit of $121,574,587 as of March 31, 2026, compared to $112,754,655 as of December 31, 2025. We expect to continue to incur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our product candidates. In addition, if we obtain regulatory approval for our product candidates and do not enter a third-party commercialization partnership, we expect to incur significant expenses related to developing our commercialization capability to support product sales, marketing, manufacturing, and distribution activities.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concluded that there is substantial doubt about our ability to continue as a going concern for at least one year from the date of issuance of the condensed consolidated financial statements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occasionally receive a fee from a patient for a “right to try” humanitarian program. Such revenues are not part of our core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legal and professional expenses and (iii) general and administrative expenses.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and development activities, including our product candidate discovery efforts and preclinical and clinical studies under our research programs, which include:</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our research and development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and preclinical and clinical activities on our behalf;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manufacturing drug products and drug supply related to our current or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conducting preclinical studies and clinical trials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professional fees related to research and development activities, including equity-based compensation to non-employees;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maintaining our laboratory, including purchasing laboratory supplies and non-capital equipment used in our preclinical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and other allocated expenses, which include expenses for rent and maintenance of facilities, insurance, depreciation and other supplies.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spacing w:after="0" w:line="180"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and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of the products following any regulatory approval.</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current and future product candidates would significantly change the costs and timing associated with the development of those product candidates.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Legal and professional expenses consist of costs related to corporate and intellectual property legal costs and accounting and auditing fees. We also anticipate increased expenses associated with being a public company, including costs for audit, legal, regulatory and tax-related services related to compliance with the rules and regulations of the Securities and Exchange Commission, or the SEC, and listing standards applicable to companies listed on a national securities exchange, director and officer insurance premiums, and investor relations costs.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salaries and other compensation-related costs, including stock-based compensation, for personnel in executive, finance and accounting, business development, operations and administrative roles. Other significant costs include insurance costs, travel costs, facility and office-related costs not included in research and development expenses.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our business expands to support expected growth in research and development activities, including our future clinical programs. These increases will likely include increased costs related to the hiring of additional personnel and fees to outside service providers, among other expenses. In addition, if we obtain regulatory approval for any of our product candidates and do not enter a third-party commercialization collaboration, we expect to incur significant expenses related to building a sales and marketing team to support product sales, marketing and distribution activities.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 based compensation expense result from the recognition of the fair value of restricted stock recorded on a straight-line basis from the date of grant to the date the restricted stock becomes fully vested.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primarily results from the bridge loan and a short-term loan both from related parties. Borrowings under these loans carry a 50% (or 1 times amounts borrowed) original issue discount (“OID”) on principal. The Company also had interest expense related to the convertible debt entered into in 2025, which contained an OID factor on the original principal amount. The OID to be earned under the loan is recognized ratably over the term of each draw-down under the loan through the maturity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primarily relates to the convertible debt entered into in 2025, which contained an original issue discount (“OID”) factor on the original principal amount, which was repaid in January 2026. The Company also had interest expense related to the outstanding litigation settlements.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Advisory fees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Advisory fees principally represent amounts due AFH Holdings, a related party, for their services in recapitalizing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on debt issuance costs resulted from the grant of warrants for a line of credit commitment. The fair value of the warrants was determined using the Black Scholes valuation method and the fair value is being amortized over the term of the line of credit commitment.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on deferred offering costs resulted from the issuance of common stock in connection with a private equity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Gain (Loss) on Change in Fair Value of Derivative Liability</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Gain (loss) on change in fair value of derivative liability relates to the fair value of the discount offered to stockholders who purchased shares under the equity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1,286,336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998,222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288,114</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1,188,220</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957,545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230,675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488,709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849,485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(360,776)</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2,732,397</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17,397,774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(14,665,377)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Fee</w:t>
            </w:r>
          </w:p>
        </w:tc>
        <w:tc>
          <w:tcPr>
            <w:tcW w:w="2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1,360,000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11,737,806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(10,377,806)</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7,055,662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31,940,832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(24,885,170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(7,055,662)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(31,900,842)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5,196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51,699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(46,503)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47,123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47,123</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(192,165)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(167,951)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(982,624)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(308,922)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(673,702)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(644,601)</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(644,601)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derivative liability</w:t>
            </w:r>
          </w:p>
        </w:tc>
        <w:tc>
          <w:tcPr>
            <w:tcW w:w="2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3"/>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(8,819,932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(32,326,016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6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revenue was generated for fees for a “right to try” humanitarian program during the three months ended March 31, 2026. Revenue of $39,990 was generated during the three months ended March 31, 2025 from fees related to a “right to try” humanitarian program.</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3"/>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 by project: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NEO100-01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882,654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579,462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108,461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48,832</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84,912</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0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362,751</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laboratory</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84,912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(74,637)</w:t>
            </w:r>
          </w:p>
        </w:tc>
      </w:tr>
      <w:tr>
        <w:trPr>
          <w:trHeight w:val="21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$1,286,336 and $998,222 for the three months ended March 31, 2026 and 2025, respectively. A portion of these expenses amounting to approximately $38,409 and $103,224 for the three months ended March 31, 2026 and 2025, respectively are from the University of Southern California (USC), where Dr. Chen is a member of the faculty. The total increase of $288,114 was primarily due to:</w:t>
      </w:r>
    </w:p>
    <w:p>
      <w:pPr>
        <w:spacing w:after="0" w:line="176"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clinical trial sites for NEO100’s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for NEO212.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of the clinical trial for NEO100-03 for a Pediatric Indication.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patient recruitment efforts.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Legal and professional expenses were $1,188,220 and $957,545 for the three months ended March 31, 2026 and 2025, respectively. The increase of $230,675 was primarily attributable to investment banking fees and incremental legal and audit fees incurred in connection with the preparation and filing of our Annual Report on Form 10-K for the year ended December 31, 2025, our Registration Statement on Form S-3, and related prospectus supplement.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$488,709 and $849,485 for the three months ended March 31, 2026 and 2025, respectively. The decrease of $360,776 was primarily driven by a reduction in marketing and advertising expense in connection with the direct public listing, as well as a reduction of rent, travel, and other costs incurred in Q1 2025 in pursuit of the Middle East deal.</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Stock-based compensation expense, which is a non-cash expense, for the three months ended March 31, 2026 resulted from the ongoing recognition of the grant date fair value of restricted stock over the applicable service periods. Stock-based compensation expense for the three months ended March 31, 2025 included the recognition of expense from the original grant dates of certain restricted stock through the Listing Date that occurred on March 26, 2025, reflecting a cumulative catch-up upon removal of the listing contingency, in addition to amortization of the grant date fair value of those shares of restricted stock over their respective service periods following the Listing Date. Since stock-based compensation is a non-cash item, it does not affect our cash position or our cash used in operating activities.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Advisory Fee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Advisory fee expense, primarily to a related party, was $1,360,000 and $11,737,806 for the three months ended March 31, 2026 and 2025, respectively. Advisory fee expense for the three months ended March 31, 2026 consisted of fees incurred for advisory services related to our capital financing arrangements pursuant to a letter of intent with AFH (see Note 4). Advisory fee expense for the three months ended March 31, 2025 was substantially comprised of the $11,328,565 fee earned upon the Listing Date on March 26, 2025 in accordance with the AFH advisory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was $982,624 and $308,922 for the three months ended March 31, 2026 and 2025, respectively. Interest expense for the three months ended March 31, 2026 related to the short-term loan and accrued interest for a litigation matter.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and other Grant Income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and grant income was $52,319 and $51,699 for the three months ended March 31, 2026 and 2025, respectively. Interest and other grant income for the three months ended March 31, 2026 related primarily to interest earned on our money market account and grant income pursuant to the two NIH grants which commenced in late 2025. Interest and other income for the three months ended March 31, 2025 related primarily to interest earned on our money market account.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Debt Issuance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of debt issuance costs was $192,165 and $167,951 for the three months ended March 31, 2026 and 2025, respectively. Amortization of debt issuance costs in both periods primarily reflected the ongoing amortization of debt issuance costs associated with (i) the warrants issued in connection with the line of credit with HCWG and (ii) the offering costs related to the equity purchase agreement with Mast Hill Fund, LP.</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i w:val="1"/>
          <w:iCs w:val="1"/>
          <w:color w:val="auto"/>
        </w:rPr>
        <w:t>Gain on Change in Fair Value of Derivative Liability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Gain on change in fair value of derivative liability was $2,801 and $0 for the three months ended March 31, 2026 and 2025, respectively. The derivative liability is created from the settlement feature embedded in the Company’s equity line of credit agreement with Mast Hill Fund, LP. Under the agreement, shares of common stock are purchased at a discount due to the five-day settlement period between the commitment date and the issuance date. This discount feature creates a variable settlement mechanism that is required to be accounted for as a derivative liability. The gain represents the change in fair value of this derivative liability from each draw under the agreement through the corresponding settlement date. There were no draws under the equity purchase agreement during the three months ended March 31, 2025, and no related loss was recognized in that period.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was $644,601 and $0 for the three months ended March 31, 2026 and 2025, respectively. Other expense for the three months ended March 31, 2026 consisted of penalties and interest accrued in connection with the unremitted income tax withholdings on shares of common stock that were withheld from recipients upon the vesting of shares of restricted stock to satisfy the recipients’ tax obligations. As of March 31, 2026, the Company had not remitted such withholding taxes to the applicable taxing authorities, and accordingly the Company has accrued penalties and interest, which is included within accrued expenses in the condensed consolidated balance sheets.</w:t>
      </w:r>
    </w:p>
    <w:p>
      <w:pPr>
        <w:sectPr>
          <w:pgSz w:w="11900" w:h="16838" w:orient="portrait"/>
          <w:cols w:equalWidth="0" w:num="1">
            <w:col w:w="11240"/>
          </w:cols>
          <w:pgMar w:left="320" w:top="794"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8"/>
          <w:szCs w:val="18"/>
          <w:color w:val="auto"/>
        </w:rPr>
        <w:t>The following table summarizes our cash flow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417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ind w:left="400"/>
        <w:spacing w:after="0"/>
        <w:tabs>
          <w:tab w:leader="none" w:pos="1740" w:val="left"/>
          <w:tab w:leader="none" w:pos="294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243" w:lineRule="exact"/>
        <w:rPr>
          <w:sz w:val="20"/>
          <w:szCs w:val="20"/>
          <w:color w:val="auto"/>
        </w:rPr>
      </w:pPr>
    </w:p>
    <w:p>
      <w:pPr>
        <w:ind w:left="360" w:hanging="355"/>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(6,991,773)  $   (5,650,055)  $   (1,341,718)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7,071,645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11,024,372</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(3,952,727)</w:t>
            </w:r>
          </w:p>
        </w:tc>
      </w:tr>
      <w:tr>
        <w:trPr>
          <w:trHeight w:val="210"/>
        </w:trPr>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79,872</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5,374,317</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(5,294,445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600" w:space="720"/>
            <w:col w:w="3920"/>
          </w:cols>
          <w:pgMar w:left="320" w:top="794" w:right="339" w:bottom="1440" w:gutter="0" w:footer="0" w:header="0"/>
          <w:type w:val="continuous"/>
        </w:sectPr>
      </w:pPr>
    </w:p>
    <w:p>
      <w:pPr>
        <w:spacing w:after="0" w:line="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$6,991,773 consisting primarily of our net loss of $8,819,932, offset by stock based compensation of $2,732,397, accretion of original issue discount on the convertible promissory notes of $714,600, amortization of debt issuance of $192,165, amortization of right of use asset of $20,406, amortization of intangible asset of $11,574, and increase in accrued expense of $1,437,582. These were offset by decreases in accrued advisory fee of $1,757,141, accounts payable of $390,550, accounts payable and accrued expenses - related parties of $463,513, and lease liability of $15,760, an increase in prepaid expenses of $650,800, and a gain on change in fair value of derivative liability of $2,801.</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$5,650,055 consisting primarily of our net loss of $32,326,016, offset by stock based compensation of $17,397,774, accretion of original issue discount on related-party advances of $300,000, amortization of debt issuance costs of $577,192, increase in accrued advisory fee of $8,828,565, and increase in accounts payable – related parties of $628,276. These were offset by an increase in prepaid expenses of $765,738 and a decrease in accrued compensation of $290,108.</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cash provided by financing activities was $7,071,645 consisting primarily of proceeds from the issuance of common stock and warrants in connection with our PIPE financing of $13,071,783 and proceeds from the sales of common stock under the equity line of credit of $666,528, offset by the repayment of the OID convertible promissory notes of $6,666,667.</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financing activities was $11,024,372 consisting primarily of proceeds from the sale of common stock of $11,324,372 and proceeds from related party loans of $300,000, offset by repayment of related party loans of $600,000.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funded our operations through the sale and issuance of common stock and debt financings from related and third parties. Our historical sources of liquidity, including the issuances of common stock under our private placements, sales under the Equity Purchase Agreement with Mast Hill Fund, LP, the line of credit with HCWG, and our convertible debt financings, are described in the “Liquidity and Capital Resources” section of our Annual Report on Form 10-K for the year ended December 31, 2025. There have been no material changes to these arrangements during the three months ended March 31, 2026 except as described below.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settlement of liabilities and commitments in the normal course of business. Since our inception, we have not generated any revenue from product sales or any other sources, except humanitarian use, and we have incurred significant operating losses. We have not yet commercialized any products, and we do not expect to generate revenue from sales of any product candidates for a number of years, if ever. As reflected in the accompanying condensed consolidated financial statements, we have incurred recurring net losses since our inception. For the three months ended March 31, 2026, we incurred a net loss of $8,819,932, and we had an accumulated deficit of $121,574,587 at March 31, 2026. At March 31, 2026, we had cash totaling $138,601. These factors raise substantial doubt about our ability to continue as a going concern for at least one year from the date of issuance of the condensed consolidated financial statements included in this Quarterly Report on Form 10-Q. Our ability to continue as a going concern is dependent upon our ability to raise additional funds and implement our strategies, such as executing additional licensing contracts. The condensed consolidated financial statements do not include any adjustments that might be necessary if we are unable to continue as a going concern.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2026, the Company entered into the first of a series of related Securities Purchase Agreements providing for the issuance, in one or more closings, of up to an aggregate of 2,222,222 shares of common stock and warrants to purchase up to 2,222,222 shares of common stock at an exercise price of $9.00 per share, for aggregate gross proceeds of up to approximately $16,000,000. During the three months ended March 31, 2026, we completed closings under three Securities Purchase Agreements for an aggregate of 1,815,528 shares of common stock and warrants to purchase 1,815,528 shares of common stock, resulting in gross proceeds of $13,071,808. Subsequent to March 31, 2026, on April 20, 2026, we entered into a fourth Securities Purchase Agreement and completed an additional closing thereunder for an aggregate of 277,777 shares of common stock and warrants to purchase 277,777 shares of common stock, resulting in gross proceeds of approximately $2,000,000. The offering of securities under the PIPE Financing terminated on April 30, 2026.</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us raising additional capital and attaining and maintaining profitable operations in the future to meet our obligations and repay our liabilities arising from normal business operations when they come due. Since inception, we have funded our operations primarily through equity and debt financings and licensing income and we expect to continue to rely on these sources of capital in the future. We have the following financing facilities available to us:</w:t>
      </w:r>
    </w:p>
    <w:p>
      <w:pPr>
        <w:spacing w:after="0" w:line="180"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2024, the Company entered into a Line of Credit Agreement (“the Agreement”) with HCWG for borrowings of up to $10.0 million. No amounts have been borrowed under the facility through December 31, 2025.</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2024, we entered into an equity purchase agreement (the “Equity Purchase Agreement”) with Mast Hill Fund, LP (“Mast Hill”) pursuant to which the Company may sell and issue to the investor, and the investor may purchase from the Company, up to $50,000,000 of Company’s common shares. During the three months ended March 31, 2026, the Company sold 76,648 shares of common stock at prices ranging from $8.40 to $8.97 per share under the Equity Purchase Agreement, resulting in net proceeds of $663,727.</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we will be able to draw upon such facilities if needed. Further, 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stockholders, in the case of equity financing, or grant unfavorable terms in licensing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development programs or future commercialization efforts.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finance our operations over the next 12 months primarily through existing cash balances and the proceeds from the funds available through our Line of Credit Agreement with HCWG and sales under the Equity Purchase Agreement, each as described above. We have based this estimate on assumptions that may prove to be wrong, and we may use our available capital resources sooner than we currently expect. Our future capital requirements will depend on a number of factors, including:</w:t>
      </w:r>
    </w:p>
    <w:p>
      <w:pPr>
        <w:spacing w:after="0" w:line="180"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and clinical trials for product candidates we may develop, if 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the occurrence of other developments that trigger payments under any license or collaboration agreements we might have at such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business operations and research and development activities;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public or private equity offerings and debt financings or other sources, such as potential collaboration agreements, strategic alliances and licensing arrangements.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including restricted stock, in accordance with ASC 718 (Accounting Standards Codification Topic 718, Compensation—Stock Compensation). Shares of restricted stock are measured at fair value on the grant date based on our common stock price and expense over the vesting period. For awards with performance or market conditions, expense is recognized based on the probability of achievement and may be accelerated. We estimate forfeitures based on historical data and adjust these estimates periodically. Changes in forfeiture rates, stock price, or performance assumptions can materially affect stock-based compensation expenses. Management reviews these assumptions quarterly and updates estimates as necessary. We consider the accounting for restricted stock a critical estimate due to the judgment involved and its material impact on our financial results.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i w:val="1"/>
          <w:iCs w:val="1"/>
          <w:color w:val="auto"/>
        </w:rPr>
        <w:t>Common Stock Purchase Warrants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consider the valuation of our common stock purchase warrants a critical accounting estimate. The fair value of our warrants is determined using a Monte Carlo Simulation model. The Monte Carlo Simulation model requires significant judgment in the selection of key inputs, including expected volatility, expected term, risk-free interest rate, and the fair value of our common stock. Expected volatility is estimated based on the historical volatility of a peer group of guideline public companies, given our limited trading history as a public company. The expected term reflects, among other factors, our assumptions regarding the likelihood and timing of liquidity events. For warrants with down-round protective provisions, additional judgment is required in modeling the timing, probability, and pricing of assumed future financing events that could trigger an adjustment to the warrant exercise price. Changes in these assumptions, particularly expected volatility, expected term, and stock price, can materially affect the estimated fair value of our warrants and, for liability-classified warrants, our reported results of operations in any given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have contracted with and may continue to contract with foreign vendors that are located in Europe and India. Our operations may be subject to fluctuations in foreign currency exchange rates in the future.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We do not believe that inflation had a material effect on our business, financial condition, or results of operations during the three months ended March 31, 2026 or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2026. Based upon their evaluation, and due to material weaknesses in our internal control over financial reporting related to; controls over segregation of duties, entity level controls over the risk assessment, information and communication and monitoring process, financial controls over all significant transaction classes, controls over authorization and tracking of related party transactions and controls over information technology over user access and provisioning, our Chief Executive Officer and Chief Financial Officer concluded that our disclosure controls and procedures (as defined in Rules 13a-15(e) and 15d-15(e) under the Exchange Act) were not effective as of March 31, 2026.</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Securities Exchange Act of 1934) during the quarter ended March 31, 2026,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consolidated financial statements. Management conducted an evaluation of our internal control over financial reporting based on the framework in Internal Control-Integrated Framework issued in 2013 by the Committee of Sponsoring Organizations of the Treadway Commission (the “2013 Framework”).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As previously reported in our Annual Report on Form 10-K for the year ended December 31, 2025, management concluded that our internal control over financial reporting was not effective as of December 31, 2025 due to the material weaknesses described therein. As of March 31, 2026, those material weaknesses have not been fully remediated.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we performed additional analysis as deemed necessary to ensure that our condensed consolidated financial statements were prepared in accordance with U.S. generally accepted accounting principles. Accordingly, management believes that the condensed consolidated financial statements included in this Quarterly Report on Form 10-Q present fairly, in all material respects, our financial position, results of operations, and cash flows for the periods presented.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has initiated steps to remediate these material weaknesses, including:</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an information technology controls consultant to assess and remediate deficiencies in user access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our company-wide risk assessment and internal communication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and improved our review process for complex securities and related accounting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with third-party professionals to consult on complex accounting applications in conformity with U.S. GAAP;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formal related party transaction policy requiring the identification of related party transactions by the Audit Committee;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 Chief Accounting Officer (“CAO”) with technical accounting expertise to strengthen financial reporting oversight, internal control environment, and accounting operations;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additional staff with the requisite experience and training to supplement existing accounting professionals.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can offer no assurance that these changes will ultimately have the intended effects.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on internal controls from our independent registered public accounting firm due to our status as an emerging growth company under the JOBS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be involved in actual and/or threatened legal proceedings, claims, investigations and government inquiries arising in the ordinary course of our business, including legal proceedings, claims, investigations and government inquiries involving intellectual property, data privacy and data protection, privacy and other torts, illegal or objectionable content, consumer protection, securities, employment, contractual rights, civil rights infringement, false or misleading advertising, or other legal claims relating to our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 w:cs="Times New Roman" w:eastAsia="Times New Roman" w:hAnsi="Times New Roman"/>
          <w:sz w:val="18"/>
          <w:szCs w:val="18"/>
          <w:i w:val="1"/>
          <w:iCs w:val="1"/>
          <w:color w:val="auto"/>
        </w:rPr>
        <w:t>perillyl alcoho</w:t>
      </w:r>
      <w:r>
        <w:rPr>
          <w:rFonts w:ascii="Times New Roman" w:cs="Times New Roman" w:eastAsia="Times New Roman" w:hAnsi="Times New Roman"/>
          <w:sz w:val="18"/>
          <w:szCs w:val="18"/>
          <w:color w:val="auto"/>
        </w:rPr>
        <w:t>l (“Licensed Product”), in the territories specified in the license agreement (“Territory”).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The settlement agreement provides for interest accruing on the unpaid balance. The Company had a litigation settlement payable of $4,304,110 and $4,170,000 in the accompanying condensed consolidated balance sheets as of March 31, 2026 and December 31, 2025, respectively. As of the date of this filing, the Company has not paid the litigation settlement amount.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 2022, NeOnc Technologies, Inc. and Fox Infused, LLC, a Delaware limited liability company (“Fox Infused”), entered into an Intellectual Property License and Supply Agreement effective July 1, 2022 (the “Fox Infused Agreement”) whereby NeOnc agreed to supply certain products to Fox Infused and license certain of our patents. The Company terminated the Fox Infused Agreement on April 25, 2023. On June 6, 2023, Fox Infused filed a complaint against the Company in the Central District of California alleging that the termination was improper (Civil Action No. 2:23-04431). Fox Infused also filed an ex parte application for a temporary restraining order and an order to show cause on a preliminary injunction against the Company seeking to have the court stop the termination of the contract. Fox Infused’s temporary restraining order application was denied, and the case was dismissed without prejudice. Fox Infused refiled the case in arbitration before the American Arbitration Association (Case No. 01-23-0002-5020). On October 16, 2023, the parties engaged in settlement discussions and agreed to settle the dispute for a $600,000 payment by the Company to Fox Infused within 5 business days of the closing date of the Company’s initial public offering or March 31, 2024.</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31, 2024, Fox Infused agreed to extend the payment until May 15, 2024 in exchange for an additional $25,000 payable on demand. The Company did not make the payment, and on July 25, 2024, the arbitrator granted interest at the statutory rate of 10% per annum on the unpaid balance commencing May 15, 2024. The Company remained in default through December 31, 2025, with the total obligation, including accrued interest, included in litigation settlement payable in the accompanying condensed consolidated balance sheets at that date. Fox Infused initiated default proceedings against the Company, which resulted in direct and indirect costs to the Company in defending and responding to such proceedings. In February 2026, the Company satisfied this obligation in full by paying the settlement amount plus accrued interest, for a total payment of $737,921. As of March 31, 2026, no remaining liability associated with this settlement was outstanding.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Part I, Item 1A “Risk Factors” of our Annual Report on Form 10-K for the year ended December 31, 2025 (the “Form 10-K”), filed with the Securities and Exchange Commission on March 31, 2026.</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as well as the other information in this Quarterly Report on Form 10-Q, before deciding whether to invest in shares of our common stock. If any of the following risks actually occurs, our business, results of operations and financial condition could be materially adversely affected. In this case, the trading price of our common stock would likely decline, and you might lose part or all your investment in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issued the following unregistered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2026, pursuant to a Securities Purchase Agreement dated January 29, 2026, the Company issued 1,388,888 shares of common stock and warrants to purchase 1,388,888 shares of common stock at an exercise price of $9.00 per share to a single institutional investor at a purchase price of $10,000,000. In a subsequent closing under the same Securities Purchase Agreement, the Company issued 86,361 shares of common stock and warrants to purchase 86,361 shares of common stock at an exercise price of $9.00 per share to three investors at an aggregate purchase price of $621,804.11. The offering under that Securities Purchase Agreement terminated on January 31, 2026.</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2026, pursuant to a second Securities Purchase Agreement dated February 24, 2026, the Company issued an aggregate of 201,390 shares of common stock and warrants to purchase 201,390 shares of common stock at an exercise price of $9.00 per share to four investors at a combined purchase price of $1,450,004 in a closing that took place on February 25, 2026. The offering under the second Securities Purchase Agreement terminated on February 28, 2026.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2026, we issued 138,889 shares of common stock and warrants to purchase 138,889 shares of common stock at an exercise price of $9.00 per share to one accredited investor in a private placement at a per-share unit purchase price of $7.20, for aggregate gross proceeds of approximately $1,000,000, pursuant to the Securities Purchase Agreement dated March 20,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2026, 170,000 shares of restricted stock were granted to our Chief Accounting Officer pursuant to the 2023 Equity Incentive Plan. Of these, 53,333 shares of restricted stock vested immediately upon grant, 58,333 shares of restricted stock vest on the first anniversary of the grant date, and 58,334 shares of restricted stock are performance-based and vest upon the achievement of certain performance conditions.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Registered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2026, the Company sold 76,648 shares of common stock at $8.40 to $8.97 per share for gross proceeds of approximately $663,727 pursuant to the Equity Purchase Agreement with Mast Hill Fund, 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0"/>
            <w:shd w:val="clear" w:color="auto" w:fill="CCEEFF"/>
          </w:tcPr>
          <w:p>
            <w:pPr>
              <w:spacing w:after="0" w:line="169"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Amended and Restated Certificate of Incorporation (incorporated by reference to Exhibit 3.1 filed on Form 8-K filed by the Registrant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March 27,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Amended and Restated Bylaws (incorporated by reference to Exhibit 3.2 filed on Form 8-K filed by the Registrant on March 27,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Common Stock Certificate (incorporated by reference to Exhibit 4.1 filed with the Registration Statement on Form S-1 filed by the</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Registrant on January 3, 2025)</w:t>
              </w:r>
            </w:hyperlink>
          </w:p>
        </w:tc>
        <w:tc>
          <w:tcPr>
            <w:tcW w:w="7880" w:type="dxa"/>
            <w:vAlign w:val="bottom"/>
            <w:tcBorders>
              <w:bottom w:val="single" w:sz="8" w:color="CCEEFF"/>
            </w:tcBorders>
            <w:gridSpan w:val="14"/>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Fourth Amended &amp; Restated Promissory Note, dated December 4, 2023, by NeOnc Technologies Holdings, Inc. and Holders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 reference to Exhibit 4.2 filed with the Registration Statement on Form S-1 filed by the Registrant on January 3,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Promissory Note, dated October 11, 2024, by NeOnc Technologies Holdings, Inc. and HCWG LLC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filed with the Registration Statement on Form S-1 filed by the Registrant on January 3, 2025)</w:t>
              </w:r>
            </w:hyperlink>
          </w:p>
        </w:tc>
        <w:tc>
          <w:tcPr>
            <w:tcW w:w="310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Common Stock Purchase Warrant, dated October 11, 2024, by NeOnc Technologies Holdings, Inc. and HCWG LLC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reference to Exhibit 4.4 filed with the Registration Statement on Form S-1 filed by the 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Promissory Note, dated February 25, 2025, by NeOnc Technologies Holdings, Inc. and Amir Heshmatpour (incorporated by reference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Exhibit 4.5 filed with the Registration Statement on Form S-1/A filed by the Registrant on February 26, 2025)</w:t>
              </w:r>
            </w:hyperlink>
          </w:p>
        </w:tc>
        <w:tc>
          <w:tcPr>
            <w:tcW w:w="216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Convertible Promissory Note (incorporated by reference to Exhibit 4.1 filed with the Form 8-K filed by the Registrant on July 22,</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2025)</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Warrant (incorporated by reference to Exhibit 4.1 filed with the Form 8-K filed by the Registrant on January 29, 2026)</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tcPr>
          <w:p>
            <w:pPr>
              <w:spacing w:after="0"/>
              <w:rPr>
                <w:sz w:val="15"/>
                <w:szCs w:val="15"/>
                <w:color w:val="auto"/>
              </w:rPr>
            </w:pPr>
          </w:p>
        </w:tc>
        <w:tc>
          <w:tcPr>
            <w:tcW w:w="916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Warrant (incorporated by reference to Exhibit 4.1 filed with the Form 8-K filed by the Registrant on March 3, 2026)</w:t>
              </w:r>
            </w:hyperlink>
          </w:p>
        </w:tc>
        <w:tc>
          <w:tcPr>
            <w:tcW w:w="94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17"/>
                <w:szCs w:val="17"/>
                <w:color w:val="auto"/>
              </w:rPr>
            </w:pPr>
          </w:p>
        </w:tc>
        <w:tc>
          <w:tcPr>
            <w:tcW w:w="90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Form of Warrant (incorporated by reference to Exhibit 4.1 filed with the Form 8-K filed by the Registrant on March 23, 2026)</w:t>
              </w:r>
            </w:hyperlink>
          </w:p>
        </w:tc>
        <w:tc>
          <w:tcPr>
            <w:tcW w:w="102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Warrant (incorporated by reference to Exhibit 4.1 filed with the Form 8-K filed by the Registrant on April 24, 2026)</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Securities Purchase Agreement (incorporated by reference to Exhibit 10.1 filed with the Form 8-K filed by the Registrant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January 29, 2026)</w:t>
              </w:r>
            </w:hyperlink>
          </w:p>
        </w:tc>
        <w:tc>
          <w:tcPr>
            <w:tcW w:w="8800" w:type="dxa"/>
            <w:vAlign w:val="bottom"/>
            <w:tcBorders>
              <w:bottom w:val="single" w:sz="8" w:color="CCEEFF"/>
            </w:tcBorders>
            <w:gridSpan w:val="15"/>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Securities Purchase Agreement (incorporated by reference to Exhibit 10.1 filed with the Form 8-K filed by the Registrant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March 3,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Employment Agreement (incorporated by reference to Exhibit 10.1 filed with the Form 8-K filed by the Registrant on March 17, 2026)</w:t>
              </w:r>
            </w:hyperlink>
          </w:p>
        </w:tc>
        <w:tc>
          <w:tcPr>
            <w:tcW w:w="36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Restricted Stock Award Agreement (incorporated by reference to Exhibit 10.2 filed with the Form 8-K filed by the Registrant on March 17,</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2026)</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Securities Purchase Agreement (incorporated by reference to Exhibit 10.1 filed with the Form 8-K filed by the Registrant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March 23, 2026)</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Securities Purchase Agreement (incorporated by reference to Exhibit 10.1 filed with the Form 8-K filed by the Registrant on April</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24, 2026)</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5"/>
                <w:szCs w:val="15"/>
                <w:color w:val="auto"/>
              </w:rPr>
            </w:pPr>
          </w:p>
        </w:tc>
        <w:tc>
          <w:tcPr>
            <w:tcW w:w="62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w:t>
            </w:r>
          </w:p>
        </w:tc>
        <w:tc>
          <w:tcPr>
            <w:tcW w:w="3860" w:type="dxa"/>
            <w:vAlign w:val="bottom"/>
            <w:tcBorders>
              <w:top w:val="single" w:sz="8" w:color="CCEEFF"/>
            </w:tcBorders>
            <w:gridSpan w:val="10"/>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w:t>
            </w:r>
          </w:p>
        </w:tc>
        <w:tc>
          <w:tcPr>
            <w:tcW w:w="4360" w:type="dxa"/>
            <w:vAlign w:val="bottom"/>
            <w:tcBorders>
              <w:bottom w:val="single" w:sz="8" w:color="CCEEFF"/>
            </w:tcBorders>
            <w:gridSpan w:val="1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Quarterly Report on Form 10-Q to be signed on its behalf by the undersigned, thereunto duly authorized, in Los Angeles, California, on May 15,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Amir Heshmatpour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Amir Heshmatpour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required under the Securities Act of 1933, this Quarterly Report on Form 10-Q has been signed below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Amir Heshmatpour</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Amir Heshmatpour</w:t>
            </w:r>
          </w:p>
        </w:tc>
        <w:tc>
          <w:tcPr>
            <w:tcW w:w="2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Keithly Garnett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Keithly Garnett</w:t>
            </w:r>
          </w:p>
        </w:tc>
        <w:tc>
          <w:tcPr>
            <w:tcW w:w="2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800" w:type="dxa"/>
            <w:vAlign w:val="bottom"/>
          </w:tcPr>
          <w:p>
            <w:pPr>
              <w:spacing w:after="0"/>
              <w:rPr>
                <w:sz w:val="20"/>
                <w:szCs w:val="20"/>
                <w:color w:val="auto"/>
              </w:rPr>
            </w:pPr>
          </w:p>
        </w:tc>
      </w:tr>
      <w:tr>
        <w:trPr>
          <w:trHeight w:val="542"/>
        </w:trPr>
        <w:tc>
          <w:tcPr>
            <w:tcW w:w="45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341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Amir Heshmatpour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NeOnc Technologies Holdings,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Amir Heshmatpour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Amir Heshmatpour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8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Keithly Garnett,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NeOnc Technologies Holdings,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Keithly Garnett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Keithly Garnett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87"/>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Amir Heshmatpour, Chief Executive Officer of NeOnc Technologies Holdings, Inc., certify that:</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NeOnc Technologies Holdings, Inc. for the period ended March 31, 2026 fully complies with the requirements of Section 13(a) or 15(d) of the Securities Exchange Act of 1934; and</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NeOnc Technologies Holdings, Inc.</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Amir Heshmatpour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Amir Heshmatpour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2026</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Keithly Garnett, Chief Financial Officer of NeOnc Technologies Holdings, Inc., certify that:</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NeOnc Technologies Holdings, Inc. for the period ended March 31, 2026 fully complies with the requirements of Section 13(a) or 15(d) of the Securities Exchange Act of 1934; and</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NeOnc Technologies Holdings, Inc.</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Keithly Garnett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Keithly Garnett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2026</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57" Type="http://schemas.openxmlformats.org/officeDocument/2006/relationships/hyperlink" Target="https://www.sec.gov/Archives/edgar/data/1979414/000182912625002097/neonctechnologies_ex3-1.htm" TargetMode="External"/><Relationship Id="rId58" Type="http://schemas.openxmlformats.org/officeDocument/2006/relationships/hyperlink" Target="https://www.sec.gov/Archives/edgar/data/1979414/000182912625002097/neonctechnologies_ex3-2.htm" TargetMode="External"/><Relationship Id="rId59" Type="http://schemas.openxmlformats.org/officeDocument/2006/relationships/hyperlink" Target="https://www.sec.gov/Archives/edgar/data/1979414/000182912625000013/neonctechnologies_ex4-1.htm" TargetMode="External"/><Relationship Id="rId60" Type="http://schemas.openxmlformats.org/officeDocument/2006/relationships/hyperlink" Target="https://www.sec.gov/Archives/edgar/data/1979414/000182912625000013/neonctechnologies_ex4-2.htm" TargetMode="External"/><Relationship Id="rId61" Type="http://schemas.openxmlformats.org/officeDocument/2006/relationships/hyperlink" Target="https://www.sec.gov/Archives/edgar/data/1979414/000182912625000013/neonctechnologies_ex4-3.htm" TargetMode="External"/><Relationship Id="rId62" Type="http://schemas.openxmlformats.org/officeDocument/2006/relationships/hyperlink" Target="https://www.sec.gov/Archives/edgar/data/1979414/000182912625000013/neonctechnologies_ex4-4.htm" TargetMode="External"/><Relationship Id="rId63" Type="http://schemas.openxmlformats.org/officeDocument/2006/relationships/hyperlink" Target="https://www.sec.gov/Archives/edgar/data/1979414/000182912625001228/neonctechnologies_ex4-5.htm" TargetMode="External"/><Relationship Id="rId64" Type="http://schemas.openxmlformats.org/officeDocument/2006/relationships/hyperlink" Target="http://www.sec.gov/Archives/edgar/data/1979414/000182912625005280/neonctechnologies_ex4-1.htm" TargetMode="External"/><Relationship Id="rId65" Type="http://schemas.openxmlformats.org/officeDocument/2006/relationships/hyperlink" Target="https://www.sec.gov/Archives/edgar/data/1979414/000182912626000757/neonctechnologies_ex4-1.htm" TargetMode="External"/><Relationship Id="rId66" Type="http://schemas.openxmlformats.org/officeDocument/2006/relationships/hyperlink" Target="https://www.sec.gov/Archives/edgar/data/1979414/000182912626001885/neonctechnologies_ex4-1.htm" TargetMode="External"/><Relationship Id="rId67" Type="http://schemas.openxmlformats.org/officeDocument/2006/relationships/hyperlink" Target="https://www.sec.gov/Archives/edgar/data/1979414/000182912626002610/neonctechnologies_ex4-1.htm" TargetMode="External"/><Relationship Id="rId68" Type="http://schemas.openxmlformats.org/officeDocument/2006/relationships/hyperlink" Target="https://www.sec.gov/Archives/edgar/data/1979414/000182912626003882/neonctechnologies_ex4-1.htm" TargetMode="External"/><Relationship Id="rId69" Type="http://schemas.openxmlformats.org/officeDocument/2006/relationships/hyperlink" Target="http://www.sec.gov/Archives/edgar/data/1979414/000182912626000757/neonctechnologies_ex10-1.htm" TargetMode="External"/><Relationship Id="rId70" Type="http://schemas.openxmlformats.org/officeDocument/2006/relationships/hyperlink" Target="https://www.sec.gov/Archives/edgar/data/1979414/000182912626001885/neonctechnologies_ex10-1.htm" TargetMode="External"/><Relationship Id="rId71" Type="http://schemas.openxmlformats.org/officeDocument/2006/relationships/hyperlink" Target="https://www.sec.gov/Archives/edgar/data/1979414/000182912626002331/neonctechnologies_ex10-1.htm" TargetMode="External"/><Relationship Id="rId72" Type="http://schemas.openxmlformats.org/officeDocument/2006/relationships/hyperlink" Target="https://www.sec.gov/Archives/edgar/data/1979414/000182912626002331/neonctechnologies_ex10-2.htm" TargetMode="External"/><Relationship Id="rId73" Type="http://schemas.openxmlformats.org/officeDocument/2006/relationships/hyperlink" Target="https://www.sec.gov/Archives/edgar/data/1979414/000182912626002610/neonctechnologies_ex10-1.htm" TargetMode="External"/><Relationship Id="rId74" Type="http://schemas.openxmlformats.org/officeDocument/2006/relationships/hyperlink" Target="https://www.sec.gov/Archives/edgar/data/1979414/000182912626003882/neonctechnologies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2026-05-15T15:45:44Z</dcterms:created>
  <dcterms:modified xsi:type="dcterms:W3CDTF">2026-05-15T15:45:44Z</dcterms:modified>
</cp:coreProperties>
</file>