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820" w:right="940" w:hanging="2872"/>
        <w:spacing w:after="0" w:line="490" w:lineRule="auto"/>
        <w:tabs>
          <w:tab w:leader="none" w:pos="11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780" w:right="940" w:hanging="2839"/>
        <w:spacing w:after="0" w:line="500" w:lineRule="auto"/>
        <w:tabs>
          <w:tab w:leader="none" w:pos="114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8"/>
          <w:szCs w:val="18"/>
          <w:color w:val="auto"/>
        </w:rPr>
        <w:t>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001-42567</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NEONC TECHNOLOGIES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Borders>
              <w:bottom w:val="single" w:sz="8" w:color="auto"/>
            </w:tcBorders>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95-1954864</w:t>
            </w:r>
          </w:p>
        </w:tc>
      </w:tr>
      <w:tr>
        <w:trPr>
          <w:trHeight w:val="191"/>
        </w:trPr>
        <w:tc>
          <w:tcPr>
            <w:tcW w:w="4720" w:type="dxa"/>
            <w:vAlign w:val="bottom"/>
            <w:gridSpan w:val="4"/>
          </w:tcPr>
          <w:p>
            <w:pPr>
              <w:jc w:val="center"/>
              <w:ind w:left="7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gridSpan w:val="2"/>
          </w:tcPr>
          <w:p>
            <w:pPr>
              <w:jc w:val="center"/>
              <w:ind w:right="124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73"/>
        </w:trPr>
        <w:tc>
          <w:tcPr>
            <w:tcW w:w="4720" w:type="dxa"/>
            <w:vAlign w:val="bottom"/>
            <w:tcBorders>
              <w:bottom w:val="single" w:sz="8" w:color="auto"/>
            </w:tcBorders>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23975 Park Sorrento Suite 205 Calabasas, CA</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520"/>
              <w:spacing w:after="0"/>
              <w:rPr>
                <w:sz w:val="20"/>
                <w:szCs w:val="20"/>
                <w:color w:val="auto"/>
              </w:rPr>
            </w:pPr>
            <w:r>
              <w:rPr>
                <w:rFonts w:ascii="Times New Roman" w:cs="Times New Roman" w:eastAsia="Times New Roman" w:hAnsi="Times New Roman"/>
                <w:sz w:val="18"/>
                <w:szCs w:val="18"/>
                <w:b w:val="1"/>
                <w:bCs w:val="1"/>
                <w:color w:val="auto"/>
              </w:rPr>
              <w:t>91302</w:t>
            </w:r>
          </w:p>
        </w:tc>
      </w:tr>
      <w:tr>
        <w:trPr>
          <w:trHeight w:val="228"/>
        </w:trPr>
        <w:tc>
          <w:tcPr>
            <w:tcW w:w="472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8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(310) 663-7831</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2820" w:type="dxa"/>
            <w:vAlign w:val="bottom"/>
          </w:tcPr>
          <w:p>
            <w:pPr>
              <w:spacing w:after="0"/>
              <w:rPr>
                <w:sz w:val="19"/>
                <w:szCs w:val="19"/>
                <w:color w:val="auto"/>
              </w:rPr>
            </w:pPr>
          </w:p>
        </w:tc>
        <w:tc>
          <w:tcPr>
            <w:tcW w:w="562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00" w:type="dxa"/>
            <w:vAlign w:val="bottom"/>
          </w:tcPr>
          <w:p>
            <w:pPr>
              <w:spacing w:after="0"/>
              <w:rPr>
                <w:sz w:val="19"/>
                <w:szCs w:val="19"/>
                <w:color w:val="auto"/>
              </w:rPr>
            </w:pPr>
          </w:p>
        </w:tc>
      </w:tr>
      <w:tr>
        <w:trPr>
          <w:trHeight w:val="427"/>
        </w:trPr>
        <w:tc>
          <w:tcPr>
            <w:tcW w:w="6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32"/>
        </w:trPr>
        <w:tc>
          <w:tcPr>
            <w:tcW w:w="47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NTHI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19,026,776 shares of common stock outstanding as of May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In this report, the term “Company”, “we”, “us”, and “our refers to </w:t>
      </w:r>
      <w:r>
        <w:rPr>
          <w:rFonts w:ascii="Times New Roman" w:cs="Times New Roman" w:eastAsia="Times New Roman" w:hAnsi="Times New Roman"/>
          <w:sz w:val="18"/>
          <w:szCs w:val="18"/>
          <w:b w:val="1"/>
          <w:bCs w:val="1"/>
          <w:i w:val="1"/>
          <w:iCs w:val="1"/>
          <w:color w:val="auto"/>
        </w:rPr>
        <w:t>NEONC TECHNOLOGIES HOLDINGS, INC.</w:t>
      </w:r>
      <w:r>
        <w:rPr>
          <w:rFonts w:ascii="Times New Roman" w:cs="Times New Roman" w:eastAsia="Times New Roman" w:hAnsi="Times New Roman"/>
          <w:sz w:val="18"/>
          <w:szCs w:val="18"/>
          <w:i w:val="1"/>
          <w:iCs w:val="1"/>
          <w:color w:val="auto"/>
        </w:rPr>
        <w:t xml:space="preserve"> and its wholly-owned subsidiary.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8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size of our market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manage our growth expansion and comply with any applicable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our market competitors;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or breach in security of, our information technology systems and resultant interruptions in service and any related impact on our reputation;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 and service our indebtedness;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legal or administrative proceedings.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320" w:type="dxa"/>
            <w:vAlign w:val="bottom"/>
            <w:tcBorders>
              <w:top w:val="single" w:sz="8" w:color="CCEEFF"/>
              <w:bottom w:val="single" w:sz="8" w:color="0000EE"/>
            </w:tcBorders>
            <w:gridSpan w:val="10"/>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 - Financial Information</w:t>
            </w:r>
          </w:p>
        </w:tc>
        <w:tc>
          <w:tcPr>
            <w:tcW w:w="7920" w:type="dxa"/>
            <w:vAlign w:val="bottom"/>
            <w:tcBorders>
              <w:top w:val="single" w:sz="8" w:color="CCEEFF"/>
              <w:bottom w:val="single" w:sz="8" w:color="CCEEFF"/>
            </w:tcBorders>
            <w:gridSpan w:val="11"/>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9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 (Unaudited)</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Operations (Unaudited)</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Stockholders’ Deficit (Unaudited)</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24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Cash Flows (Unaudited)</w:t>
            </w:r>
          </w:p>
        </w:tc>
        <w:tc>
          <w:tcPr>
            <w:tcW w:w="466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00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Borders>
              <w:top w:val="single" w:sz="8" w:color="CCEEFF"/>
            </w:tcBorders>
          </w:tcPr>
          <w:p>
            <w:pPr>
              <w:spacing w:after="0"/>
              <w:rPr>
                <w:sz w:val="15"/>
                <w:szCs w:val="15"/>
                <w:color w:val="auto"/>
              </w:rPr>
            </w:pPr>
          </w:p>
        </w:tc>
        <w:tc>
          <w:tcPr>
            <w:tcW w:w="4920" w:type="dxa"/>
            <w:vAlign w:val="bottom"/>
            <w:tcBorders>
              <w:top w:val="single" w:sz="8" w:color="0000EE"/>
            </w:tcBorders>
            <w:gridSpan w:val="16"/>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16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 Legal Proceedings</w:t>
            </w:r>
          </w:p>
        </w:tc>
        <w:tc>
          <w:tcPr>
            <w:tcW w:w="818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2. Unregistered Sales of Equity Securities</w:t>
            </w:r>
          </w:p>
        </w:tc>
        <w:tc>
          <w:tcPr>
            <w:tcW w:w="668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774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Exhibit Index</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000" w:type="dxa"/>
            <w:vAlign w:val="bottom"/>
            <w:tcBorders>
              <w:top w:val="single" w:sz="8" w:color="CCEEFF"/>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offering costs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Debt issuance costs - current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Debt issuance costs - net of current portion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offering costs - net of current portion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0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5,439,210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64,893</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96,880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1,071,947</w:t>
            </w:r>
          </w:p>
        </w:tc>
      </w:tr>
      <w:tr>
        <w:trPr>
          <w:trHeight w:val="229"/>
        </w:trPr>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671,804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671,804</w:t>
            </w:r>
          </w:p>
        </w:tc>
      </w:tr>
      <w:tr>
        <w:trPr>
          <w:trHeight w:val="234"/>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1,152,297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410,085</w:t>
            </w:r>
          </w:p>
        </w:tc>
      </w:tr>
      <w:tr>
        <w:trPr>
          <w:trHeight w:val="228"/>
        </w:trPr>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7,360,191</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2,218,729</w:t>
            </w:r>
          </w:p>
        </w:tc>
      </w:tr>
      <w:tr>
        <w:trPr>
          <w:trHeight w:val="409"/>
        </w:trPr>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1,030,561</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1,198,512</w:t>
            </w:r>
          </w:p>
        </w:tc>
      </w:tr>
      <w:tr>
        <w:trPr>
          <w:trHeight w:val="234"/>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50,939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8,441,691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3,417,241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792"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4,025,244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2,917,801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118,011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628,277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advisory fee -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8,828,565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4,648,750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4,641,250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444,766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734,874</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18,065,336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8,922,202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were issued and outstanding as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31, 2025 and December 31, 2024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19,026,776 and 18,090,526 shares issued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2025 and December 31, 2024, respectively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78,984,884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45,101,675</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(88,610,432)</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(50,608,445)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(9,623,645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8,441,691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3,417,241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8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39,990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43,000</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998,222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614,517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957,545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564,354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849,485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415,612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23,073,745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Advisory fees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11,737,806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37,616,803</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1,594,483</w:t>
            </w:r>
          </w:p>
        </w:tc>
        <w:tc>
          <w:tcPr>
            <w:tcW w:w="100" w:type="dxa"/>
            <w:vAlign w:val="bottom"/>
            <w:tcBorders>
              <w:bottom w:val="single" w:sz="8" w:color="CCEEFF"/>
            </w:tcBorders>
          </w:tcPr>
          <w:p>
            <w:pPr>
              <w:spacing w:after="0"/>
              <w:rPr>
                <w:sz w:val="18"/>
                <w:szCs w:val="18"/>
                <w:color w:val="auto"/>
              </w:rPr>
            </w:pPr>
          </w:p>
        </w:tc>
      </w:tr>
      <w:tr>
        <w:trPr>
          <w:trHeight w:val="20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(37,576,813)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(1,551,483)</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Amortization of debt issuance costs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 related parties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640"/>
        <w:spacing w:after="0"/>
        <w:tabs>
          <w:tab w:leader="none" w:pos="2380" w:val="left"/>
        </w:tabs>
        <w:rPr>
          <w:sz w:val="20"/>
          <w:szCs w:val="20"/>
          <w:color w:val="auto"/>
        </w:rPr>
      </w:pPr>
      <w:r>
        <w:rPr>
          <w:rFonts w:ascii="Times New Roman" w:cs="Times New Roman" w:eastAsia="Times New Roman" w:hAnsi="Times New Roman"/>
          <w:sz w:val="18"/>
          <w:szCs w:val="18"/>
          <w:color w:val="auto"/>
        </w:rPr>
        <w:t>51,699</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80"/>
        <w:spacing w:after="0"/>
        <w:tabs>
          <w:tab w:leader="none" w:pos="2380" w:val="left"/>
        </w:tabs>
        <w:rPr>
          <w:sz w:val="20"/>
          <w:szCs w:val="20"/>
          <w:color w:val="auto"/>
        </w:rPr>
      </w:pPr>
      <w:r>
        <w:rPr>
          <w:rFonts w:ascii="Times New Roman" w:cs="Times New Roman" w:eastAsia="Times New Roman" w:hAnsi="Times New Roman"/>
          <w:sz w:val="18"/>
          <w:szCs w:val="18"/>
          <w:color w:val="auto"/>
        </w:rPr>
        <w:t>(167,951)</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8"/>
          <w:szCs w:val="18"/>
          <w:color w:val="auto"/>
        </w:rPr>
        <w:t>(308,922)</w:t>
      </w:r>
      <w:r>
        <w:rPr>
          <w:sz w:val="20"/>
          <w:szCs w:val="20"/>
          <w:color w:val="auto"/>
        </w:rPr>
        <w:tab/>
      </w:r>
      <w:r>
        <w:rPr>
          <w:rFonts w:ascii="Times New Roman" w:cs="Times New Roman" w:eastAsia="Times New Roman" w:hAnsi="Times New Roman"/>
          <w:sz w:val="18"/>
          <w:szCs w:val="18"/>
          <w:color w:val="auto"/>
        </w:rPr>
        <w:t>(1,387,493)</w:t>
      </w:r>
    </w:p>
    <w:p>
      <w:pPr>
        <w:spacing w:after="0" w:line="31" w:lineRule="exact"/>
        <w:rPr>
          <w:sz w:val="20"/>
          <w:szCs w:val="20"/>
          <w:color w:val="auto"/>
        </w:rPr>
      </w:pPr>
    </w:p>
    <w:p>
      <w:pPr>
        <w:spacing w:after="0"/>
        <w:tabs>
          <w:tab w:leader="none" w:pos="240" w:val="left"/>
          <w:tab w:leader="none" w:pos="1320" w:val="left"/>
          <w:tab w:leader="none" w:pos="166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(38,001,987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
        <w:t>$</w:t>
        <w:tab/>
        <w:t>(2,938,976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560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792"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  $</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197"/>
        </w:trPr>
        <w:tc>
          <w:tcPr>
            <w:tcW w:w="868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Weighted average number of common shares outstanding during the period - basic and 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18,135,317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16,560,000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Deficit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62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24,720,072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(38,709,981)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(2,938,976)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(2,938,976)</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24,720,072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(41,648,957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(16,927,229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18,090,526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45,101,675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(50,608,445)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727,750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10,252,425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10,252,498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advisory services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557,055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557,060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162,500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23,073,745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23,073,745</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(38,001,987)</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(38,001,987)</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19,026,776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78,984,884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(88,610,432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(9,623,645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68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(38,001,987)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(2,938,976)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bridge loan - expenses paid by bridge loan provider on behalf of the Company</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476,393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original issue discount on bridge loans - related party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1,387,493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based compensation - restricted stock</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23,073,745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deferred offering costs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577,192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(765,738)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103,271</w:t>
            </w:r>
          </w:p>
        </w:tc>
      </w:tr>
      <w:tr>
        <w:trPr>
          <w:trHeight w:val="21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(290,108)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116,500</w:t>
            </w: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advisory fee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8,828,565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628,276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1,001,066</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(5,650,055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related party loan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 of related party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offering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216"/>
        </w:trPr>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6"/>
              </w:rPr>
              <w:t>11,324,372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670,954</w:t>
            </w:r>
          </w:p>
        </w:tc>
      </w:tr>
      <w:tr>
        <w:trPr>
          <w:trHeight w:val="234"/>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(718,708)</w:t>
            </w:r>
          </w:p>
        </w:tc>
      </w:tr>
    </w:tbl>
    <w:p>
      <w:pPr>
        <w:ind w:left="1800" w:hanging="731"/>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(124,841)</w:t>
      </w:r>
    </w:p>
    <w:p>
      <w:pPr>
        <w:spacing w:after="0" w:line="22"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11,024,372(172,595)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56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5,374,317</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(26,848)</w:t>
            </w: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64,893</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31,862</w:t>
            </w:r>
          </w:p>
        </w:tc>
      </w:tr>
      <w:tr>
        <w:trPr>
          <w:trHeight w:val="223"/>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5,439,210</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6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issue discount on bridge loan - related party</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7,116,335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in connection with private placement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557,060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 at lease commencement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536,605</w:t>
            </w: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deferred offering costs to APIC at the completion of the offering</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1,391,580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1 – 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NeOnc Technologies, Inc. (“NTI”) was incorporated on April 13, 2005, as a California corporation. On April 7, 2023, NTI merged into NeOnc Technologies Holdings, Inc. (“NTHI” and the combined entities “NeOnc” or the “Company”). NTHI was incorporated January 5, 2023, as a Delaware Corporation.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NeOnc is the developer of a novel molecular technology that provides enhanced targeted delivery of technologies for treating central nervous system diseases. The Company’s lead product, NEO100 is in clinical trials treating glioblastoma, and has Orphan Drug and Fast Track designation from the United States Food and Drug Administration (“FDA”). The Company licensed the underlying technology from the University of Southern California. (“USC”).</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a broker dealer to serve as placement agent and provide broker services in connection with the proposed sale of common stock up to $10,000,000. Under this agreement, through December 31, 2024, the Company closed on commitments from investors to purchase 625,000 shares of common stock of the Company at $16 per share for total commitments of $10,000,000, which were to be held in escrow until the Company’s registration statement was declared effective. During the three months ended March 31, 2025, prior to the Company having an effective registration statement, the Company closed on an additional commitment to purchase 102,750 shares of common stock of the Company at $16 per share, for total commitments of $1,644,000, On March 10, 2025, the Company’s registration statement was declared effective at which time the $11,644,000 in escrow was released to the Company. On March 26, the Company was listed (“Listing”) on the NASDAQ global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is a going concern, which contemplates, among other things, the realization of assets and satisfaction of liabilities in the normal course of business. At March 31, 2025, the Company had cash totalling $5,439,210. For the three months ended March 31, 2025, the Company incurred a net loss of $38,001,987 and has an accumulated deficit of $88,610,432 at March 31, 2025. The Company has financed its working capital requirements to date primarily through the sale of common stock, preferred stock, shareholder loans and related party bridge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sufficient available capital to fund operations for a period of twelve months from the issuance date of these financial statements. The Company does not know whether additional financing will be available when needed, whether it will be available on favorable terms, or if it will be available at all. These factors raise substantial doubt regarding the Company’s ability to continue as a going concern.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biopharmaceutical companies, including, but not limited to, new technological innovations, dependence on key personnel, protection of proprietary technology, compliance with government regulations, product liability, and the uncertainty of market acceptance of products and the potential need to obtain additional financing. The Company is dependent on third-party suppliers and, in some cases, single-source suppliers. The Company’s products require approval or clearance from the FDA prior to commencing commercial sales in the United States. Approvals or clearances are also required in foreign jurisdictions where the Company may license or sell its products. There can be no assurance that the Company’s products will receive all required approvals or clearances.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Company’s products, if approved, will be accepted in the marketplace, nor can there be any assurance that any future products can be developed or manufactured at an acceptable cost with appropriate performance characteristics or that such products will be successfully marketed, if at all.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2 – B</w:t>
      </w:r>
      <w:r>
        <w:rPr>
          <w:rFonts w:ascii="Times New Roman" w:cs="Times New Roman" w:eastAsia="Times New Roman" w:hAnsi="Times New Roman"/>
          <w:sz w:val="12"/>
          <w:szCs w:val="12"/>
          <w:b w:val="1"/>
          <w:bCs w:val="1"/>
          <w:color w:val="auto"/>
        </w:rPr>
        <w:t>asis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resentation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ignificant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herein have been prepared by the Company pursuant to the rules and regulations of the Securities and Exchange Commission (the “SEC”). Certain information and note disclosures normally included in annual financial statements prepared in accordance with generally accepted accounting principles have been condensed or omitted pursuant to SEC rules and regulations, although the Company believes that the disclosures made are adequate to make the information not misleading. Accordingly, the condensed consolidated financial statements reflect all normal recurring adjustments, which are, in the opinion of management, necessary for a fair presentation of the results of interim periods and may not include all disclosures required by accounting principles generally accepted in the United States (“GAAP”). The information as of March 31, 2025, and for the three months ended March 31, 2025, is unaudited, whereas the consolidated balance sheet as of December 31, 2024, is derived from the Company’s audited condensed consolidated financial statements as of that date. These condensed consolidated financial statements and notes hereto should be read in conjunction with the consolidated financial statements and notes thereto included in the audited financial statements for the year ended December 31, 2024, included on Form S-1, filed with the SEC on February 26, 2025.</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results to be expected for any other interim period or for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to the condensed consolidated financial statements include the accounts of the Company and its wholly owned subsidiary.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Company’s financial statements in conformity with GAAP, management is required to make estimates and assumptions that affect the reported amounts of assets and liabilities and disclosures of contingent assets and liabilities at the date of the financial statements, as well as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from time to time during the period covered by these financial statements, may have had bank account balances in excess of federally insured limits. The Company has not experienced losses in such accounts. For the statements of cash flows, the Company considers all short-term investments purchased with a maturity of three months or less to be cash equivalents. At March 31, 2025 and 2024, the Company has money market funds in the amount of approximately $5,440,000 and $0,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consist principally of professional and registration fees incurred through the condensed consolidated balance sheet dated December 31, 2024 that are related to the planned public offering of its securities (See Note 3). These costs have been capitalized and were recognized in equity upon the completion of the securities offering. At March 31, 2025, deferred offering costs consist of the fair value of shares issued in conjunction with the issuance of an equity purchase agreement. These costs have been capitalized and are being amortized over the term of the availability of the equity purchase agreement (Note 6). If planned offerings are terminated, the related capitalized deferred offering costs are written off.</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issuance costs represent costs directly attributable to warrants issued for a line of credit commitment. Such costs represent the fair value of warrants issued to the debt facility provider, and are amortized to the statement of operations on a straight-line basis which approximates the effective interest rate method, over the term of the debt instrument. The debt issuance costs, net of accumulated amortization is classified as a long-term asset until the Company begins to draw funds from the debt facility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At such time, the pro-rata portion of amounts borrowed as compared to the total debt facility will be reclassified as a contra-debt account.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 terms of warrants issued and determines if the instrument requires liability or equity accounting classification under ASC 815: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Derivatives and Hedging and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its leases either as operating or financing lease at inception. The company has an operating lease. This lease is recorded as an operating lease, right of use (ROU) assets and operating lease liabilities on the accompanying consolidated balance sheets.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ROU assets and the related lease liabilities are recognized based on the present value of the future minimum lease payments over the lease term at commencement date. The operating lease ROU assets also include lease incentives and initial direct costs incurred. For operating leases, interest on the lease liability and the amortization of ROU asset result in straight-line rent expense over the lease term. Leases may include options to extend or terminate the lease which are included in the ROU operating lease assets and operating lease liability when they are reasonably certain of exercise. Certain leases include lease and non-leased components, which are accounted for as one single lease component. Operating lease expense associated with minimum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the methods used to measure fair value and the expanded disclosures about fair value measurements. Fair value is the price received to sell an asset or paid to transfer a liability in an orderly transaction between the buyer and the seller at the measurement date. In determining fair value, the valuation techniques consistent with the market approach, income approach and cost approach shall be used to measure fair value. ASC 820 establishes a fair value hierarchy for inputs, representing the assumptions the buyer and seller use in pricing the asset or liability. These inputs are further defined as observable and unobservable inputs. Observable inputs are those that the buyer and seller would use in pricing the asset or liability based on market data obtained from sources independent of the Company. Unobservable inputs reflect the Company’s assumptions about the inputs the buyer and seller would use to price the asset or liability developed based on the best information available in the circumstances.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valued at quoted prices in active markets and are classified as Level 1 within the fair value hierarchy. The carrying value of the Company’s accounts payable approximates its fair value because of the short-term nature of these financial instruments. The note payable - related party is reported at fair value as the Company elected the fair value option for such note (see Note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is categorized into three levels based on the inputs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or liabilities that the Company has the ability to access. Valuation adjustments and block discounts are not being applied. Since valuations are based on quoted prices that are readily and regularly available in an active market, the valuation of these securities does not entail a significant degree of judgment.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(i) quoted prices in active markets for similar assets and liabilities, (ii) quoted prices in markets that are not active for identical or similar assets, (iii) inputs other than quoted prices for the assets or liabilities, or (iv) inputs that are derived principally from or corroborated by the market through correlation or other means.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unobservable inputs and significant to the overall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point-in-time revenue of $39,900 and $43,000 for the three months ended March 31, 2025 and 2024, respectively, for the sale/license of technology where the Company has no further performance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personnel costs associated with research and development activities, including third-party contractors performing research, conducting clinical trials, and manufacturing drug supplies and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filing and prosecuting patent applications are expensed as incurred due to the uncertainty about the recovery of the expenditure. Amounts incurred are classified as legal and professional expenses in the accompanying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granted stock options and common shares to employees, non-employee consultants and non-employee members of our Board of Directors. The Company measures the compensation cost associated with all share-based payments based on the grant date fair values. Compensation costs associated with grants of common shares are measured at fair value at the date of grant, which has historically been the most recent price paid by investors to purchase shares of the Company’s common stock prior to such grant. The Company recognizes share-based compensation expense over the requisite service period of each award, which generally equals the vesting period, using the straight-line method for awards that contain only service conditions. If the stock grant is contingent upon events that have not yet happened, then the grant is not considered issued. If an award holder leaves the company prior to vesting, and adjustment of the compensation expense will be made to reflect only those awards that vested.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stock-based compensation expense for the restricted stock units (“RSU”) based upon the fair value of the common stock at the date of the grant. The expense is recognized over the service period provided in the RSU awards, however expense will not be recognized until the Listing date, as prior to such date it was not probable that condition to commence vesting would be met.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vesting contingency is met, the Company will commence to recognize expense related to the RSU’s. For time based vested RSU’s, the expense will be recognized on a straight-line basis from the grant date to the last vesting date. The expense recognized will include the expense from the date of the grant over the total vesting period and reflect the portion attributable to the service provided prior to the listing. For performance based RSU’s, the Company will determine the probability of the contingency being met each quarter end based upon an assessment of progress made under such performance criteria.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available to common stockholders by the weighted average number of common shares outstanding during the period. Diluted net loss per share is computed by dividing net loss by the sum of the weighted average number of common shares outstanding during the period. For periods in which the Company reports a net loss, the diluted net loss per share is the same as basic net loss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there are potentially dilutive securities outstanding of 150,000 and 3,110,000 potentially dilutive restricted stock units which are not included in the diluted net loss per share calculation since their effect is anti-dilutive. For the three months ended March 31, 2024, there were no potentially dilutive warrants outstanding and no potentially dilutive restricted stock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federal, state, and foreign current tax liabilities or assets based on its estimate of taxes payable to or refundable by tax authorities in the current fiscal year. For the periods ended March 31, 2025 and 2024, there is no current tax provision due to losses generated. The Company also recognizes federal and state deferred tax liabilities or assets based on the Company’s estimate of future tax effects attributable to temporary differences and carry forwards. Deferred tax assets and liabilities are measured using enacted tax rates expected to apply to taxable income in the years those temporary differences are expected to be recovered or settled.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quarterly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 The difference between the statutory and effective rates for the years ended March 31, 2025 and 2024 is a result of the Company applying a full valuation allowance against any deferred tax assets as a result of net operating losses due to uncertainties surrounding the usability of such net operating losses. The ability to utilize such net operating loss carry forwards may be limited due to possible changes in ownership as defined under Internal Revenue Code section 382.</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 likely than not to be sustained upon audit by the relevant taxing authority. An uncertain income tax position will not be recognized if it is less than 50% likely to be sustained. Uncertain tax positions are recognized in the first subsequent financial reporting period in which that threshold is met or from changes in circumstances such as the expiration of applicable statutes of limitations. The Company will recognize interest and penalties related to tax positions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standard expands reportable segment disclosure requirements for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primarily through enhanced disclosures about significant segment expenses that are regularly provided to the chief operating decision maker (“CODM”) and included within each reported measure of segment profit (referred to as the “significant expense principle”). The standard has been adopted for our fiscal year 2024 annual financial statements and interim financial statements thereafter and have applied this standard retrospectively for all prior periods presented in the financial statements.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3 – R</w:t>
      </w:r>
      <w:r>
        <w:rPr>
          <w:rFonts w:ascii="Times New Roman" w:cs="Times New Roman" w:eastAsia="Times New Roman" w:hAnsi="Times New Roman"/>
          <w:sz w:val="12"/>
          <w:szCs w:val="12"/>
          <w:b w:val="1"/>
          <w:bCs w:val="1"/>
          <w:color w:val="auto"/>
        </w:rPr>
        <w:t>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AFH Holdings and Advisory, LLC advisory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19, 2022, the Company entered into an advisory agreement with AFH Holdings and Advisory, LLC (‘AFH’) an affiliate to assist the Company in connection with its intent to affect a public listing. AFH was retained to assist the Company with investor presentations and decks, coordinate the retention of an investment banker for an initial public offering, identify legal and accounting professionals to assist in connection with such public offering, identify investor relations/public relations firms, advise on private capital markets activities prior to the initial public offering and coordinate the closing process for the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2024, the Company amended the AFH advisory agreement section to allow for an upfront payment on the listing date of $2,500,000 and the remaining amount of the fee to be paid in equal monthly instalments for one year. AFH was paid a fee of $500,000 for the amendment.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2025, and as a result of the listing of the Company on Nasdaq, the Company incurred $11,328,565 for the fee earned in accordance with the AFH advisory agreement which was recorded as advisory fee expense in the condensed consolidated statement of operations. In accordance with the amendment, the Company paid $2,500,000 of such fee on March 26, 2025. The remaining balance of $8,828,565, recorded on the condensed consolidated balance sheet at March 31, 2025 within accrued advisory fee – related party, is payable in 12 equal monthly installments commencing in April 2025.</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Company agreed to retain AFH as an exclusive advisor to the Company on all financing and mergers and acquisitions for a period of two (2) years from the closing of the private securities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USC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license agreement with USC, under which the Company will pay USC an annual patent maintenance fee of $20,000 and nonrefundable earned royalties of 4% on Net Sales (as defined in the Amended Agreement) of Licensed Products covered by the licensed patents in all countries in which the manufacture, use, sale, offer for sale, or import of such Licensed Products, as such capitalized terms are defined in the Amended Agreement. To date, no sales have been made using Licensed Products, and no royalties are due to USC. In addition, the Company will assume responsibility for patent-related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utilizes laboratory and patent maintenance services from USC. The Company incurred $102,224 and $72,234 related to such services for the three months ended March 31, 2025 and 2024, respectively, of which $82,224 and $72,234 are recorded within research and development expenses and $20,000 and $0 are recorded within general administrative expenses on the condensed consolidated statements of operations. At March 31, 2025 and December 31, 2024, the Company has outstanding payables to USC for such services of $118,011 and $272,328 respectively, which is included in accounts payable - related parties in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accrued for the management team, including related payroll taxes, was $444,766 and $734,874 as March 31, 2025 and December 31,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4 –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Bridge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entered into a non-interest bearing, non-convertible promissory note with HCWG LLC (the “Bridge Loan”). Borrowings under the Bridge Loan carry a 50% (or 1 times cash amounts borrowed) original issue discount (“OID”) on principal and through subsequent amendments the maximum cash borrowing was increased to $10,000,000. The outstanding amounts under this Bridge Loan were payable at the earlier of the date the Company completes an IPO or December 4, 2024 (the “Maturity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31, 2024, the Company had received under the Bridge Loan an aggregate of $7,116,335. The OID was recognized ratably over the term of each draw-down under the Bridge Loan through the Maturity Date unless settled earlier, at which point the accretion is accelerated. Accretion of the OID for the three months ended March 31, 2024, amounted to $1,387,493, which is included in interest expense in the accompanying consolidated statement of operations. Summary of the bridge loan activity for the three months ended March 31, 2024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00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 – carrying value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9,802,697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1,147,347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1,147,347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Repayments</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(718,708)</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11,378,683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14, 2024, the Company reached an agreement with HCWG LLC to convert the outstanding principal and interest on the Bridge Loan into 979,039 shares of common stock. As a result of this conversion, the Bridge Loan was terminated and is no longer available to the Company for borrowing. The Company has a receivable due from HCWG LLC totaling $148,705 which is recorded within prepaid expenses and other on the condensed consolidated balance sheet at March 31, 2025 and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 from Executive Chairman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our Executive Chairman advanced the Company approximately $300,000. The advances carry a 50% (or 1 times amounts borrowed) original issue discount (“OID”) on the principal. On March 10, 2025, the advance and 1x interest was repaid. Interest expense in the amount of $300,000 is included in the condensed consolidated statement of operations as interest expense – related parties for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5 – L</w:t>
      </w:r>
      <w:r>
        <w:rPr>
          <w:rFonts w:ascii="Times New Roman" w:cs="Times New Roman" w:eastAsia="Times New Roman" w:hAnsi="Times New Roman"/>
          <w:sz w:val="12"/>
          <w:szCs w:val="12"/>
          <w:b w:val="1"/>
          <w:bCs w:val="1"/>
          <w:color w:val="auto"/>
        </w:rPr>
        <w:t>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2024, the Company entered a 24-month lease for office space, which calls for a monthly base rent of $25,000, increasing at 3% per annum. The Company has only one operating lease and has no financing leases. The Company’s lease does not contain options to renew or extend the lease term or options to terminate leases early, except for insolvency. In calculating the present value of future lease payments, the Company utilized its incremental borrowing rate based on the lease term. The Company’s net lease non-lease components (e.g., standard area maintenance, maintenance, consumables, etc.) are paid separately from rent based on actual costs incurred and, therefore, are not included in the right-of-use asset and lease liability and are reflected as an expense in the period incurred. On November 27, 2024, the Company amended the lease expiration date from January 31, 2026, to January 31,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consolidated balance sheet reflects a right-of-use asset of $23,526 and a lease liability of $24,722 included in the condensed consolidated statement of operations in general and administrative expenses. The Company recorded lease expense of $24,722 and $55,468 during the three months ended March 31, 2025, and 2024, respectively, within general and administrative expenses on the consolidated statements of operations. Cash paid for amounts included in the measurement of lease liability was $25,000 and $55,000, respectively, during the three months ended March 31, 2025 and the year ended December 31, 2024, respectively. The lease liability was computed using an interest rate of 13.49% and as of December 31, 2024, the lease has a remaining life of one month .</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6 – C</w:t>
      </w:r>
      <w:r>
        <w:rPr>
          <w:rFonts w:ascii="Times New Roman" w:cs="Times New Roman" w:eastAsia="Times New Roman" w:hAnsi="Times New Roman"/>
          <w:sz w:val="12"/>
          <w:szCs w:val="12"/>
          <w:b w:val="1"/>
          <w:bCs w:val="1"/>
          <w:color w:val="auto"/>
        </w:rPr>
        <w:t>ommon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available for issue by NTHI is 100,000,000 shares of common stock at $0.0001 par value per share and the total number of shares of preferred stock is 10,000,000 at a par value of $0.0001. As of March 31, 2025, no preferred shares have been issued. The board of directors is authorized, subject to any limitations prescribed by law, to provide for the issuance of shares of Preferred Stock in one or more series, and by filing a certificate pursuant to the applicable law of the State of Delaware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establish from time to time the number of shares to be included in each such series, and to fix the designation, powers, preferences, and rights of the shares of each wholly unissued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any series thereof, unless a vote of any such holders is required pursuant to the terms of any Preferred Stock Designation.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727,750 shares of common stock at a price of $16 per share for gross proceeds of $11,644,005 pursuant to a private placement of its securities, issued 46,000 shares as part of advisory services related to the listing and as part of the private placement fee for our equity line of credit, 162,500 shares were issued for the cashless exercise of warrants, and the release of 3,110,000 shares for restricted stock units.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net proceeds from the sale of common stock were calculated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sale of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11,644,005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deferred offering costs to APIC at the completion of the offering</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(1,391,580)</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the sale of common stock</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10,252,425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RBW Capital Partners LLC, a division of Dawson James Securities, Inc. (“Broker”) to serve as placement agent and provide broker services in connection with the possible sale of common stock up to $10 million. If a sale is made between the Company and any institutional or individual third-party funding source introduced by the placement agent, the Company will pay a placement fee of 8% of the gross proceeds. In addition, the company agrees to pay; (a) 1.0% of the gross proceeds for non-accountable expenses; and (b) out of pocket expenses plus the costs associated with the use of a third-party electronic road show service up to $10,000. The agreement expired on January 11, 2025 and was amended and restated on January 29, 2025 to extend the term for another six months through July 29, 2025 and increasing the placement fee to 12% from 8% of the gross proceeds, and eliminated the 1% non-accountable expense fee.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this agreement, through December 31, 2024, the Company closed on commitments from investors to purchase 625,000 shares of common stock of the Company at $16 per share for total commitments of $10,000,000, which were to be held in escrow until the Company’s registration statement was declared effective. During the three months ended March 31, 2025, prior to the Company having an effective registration statement, the Company closed on an additional commitment to purchase 102,750 shares of common stock of the Company at $16 per share, for total commitments of $1,644,005, also to be held in escrow until the Company’s registration statement was declared effective. On March 25, 2025, the Company’s registration statement was declared effective at which time the $11,644,005 in escrow was released to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agreement, the Company paid $300,000 in placement agent fees to Broker for securing $2,500,000 in commitments for the Private Placement. This fee was paid when the funds were released from escrow and recorded as a reduction to additional paid-in capital on the condensed consolidated statement of shareholders’ deficit as of March 31,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Advisory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 2024, as amended on January 23, 2025, the Company entered into an agreement with Broker, for financial advisory and investment banking services in connection with a direct listing of the Company’s common stock on the Nasdaq Global Market or other major US market. The agreement provides for a one-time fee of $250,000 payable three days after the direct listing and the issuance of 30,000 shares of common stock (which are restricted until the shares are registered by filing a resale S-1 within 30 days after the effective date of the direct listing). In addition, the Company agreed to pay up to $100,000 for fees and expenses of legal counsel and other out-of-pocket expenses plus the costs associated with the use of a third-party electronic road show service. Such fees were included in accounts payable and deferred offering costs in the accompanying consolidated balance sheets as of December 31, 2024. The fair value of the 30,000 shares issued in March 2025, amounting to $363,300, was determined using the closing day price of $12.11. This amount was recorded as an advisory fee on the condensed consolidated statement of operations as of March 31, 2025. The agreement expired on January 3, 2025 and was amended and restated on January 23, 2025 to extend the term for another six months through July 23, 2025. No additional fees are expected under this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offering costs relating to the Private Placement and direct listing at December 31, 2024 totaled $1,071,947. At March 31, 2025, this amount plus $319,561 incurred in the quarter ended March 31, 2025 was reclassified against the common stock issued in the condensed consolidated statement of changes in shareholder’s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we entered into an equity purchase agreement (the “Equity Purchase Agreement”) with Mast Hill Fund, LP (“Mast Hill”) pursuant to which the Company may sell and issue to Mast Hill, and the investor may purchase from the Company, up to $50,000,000 of Company’s common shares. Under the Equity Purchase Agreement, the Company has the right, but not the obligation, to direct Mast Hill, by its delivery to the Mast Hill of a Put Notice from time to time, to purchase Put Shares (i) in a minimum amount not less than $50,000 and (ii) in a maximum amount up to the lesser of (a) $750,000 or (b) 150% of the average trading volume of the Company’s common stock during the five trading days immediately preceding the Put Date. The Company could draw down any funds under the Equity Purchase Agreement until the Company has an effective registration statement.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proceeds we receive pursuant to each Put Notice (each, the “Put Amount”) is determined by multiplying the Put Amount requested by the applicable purchase price. The purchase price for each of the Put Shares equals 95% of the Market Price, (as defined below) less the Clearing Costs (as defined below). Market Price is the lowest volume weighted average prices of the Company’s common shares on its principal market on any trading day during the Valuation Period (as defined below). The Valuation Period is the five trading days immediately following the date on which Mast Hill receives the Put Shares in its brokerage account. Clearing Costs are all the fees incurred by Mast Hill with respect to its brokerage firm, clearing firm, Company transfer agent fees, and attorney fees, with respect to the Put Shares.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of the Equity Purchase Agreement will commence on the effective date of the direct listing and will terminate on the earlier of i) the date on which the Mast Hill shall have purchased Put Shares equal to the $50,000,000, (ii) twenty-four (24) months after the date of the Equity Purchase Agreement, (iii) written notice of termination by the Company to Mast Hill, (iv) this Registration Statement is no longer effective after the initial effective date of this Registration Statement, or (v) the date that, pursuant to or within the meaning of any Bankruptcy Law, the Company commences a voluntary case or any Person commences a proceeding against the Company, a receiver, trustee, assignee, liquidator or similar official is appointed for the Company or for all or substantially all of its property or the Company makes a general assignment for the benefit of its creditors. As of March 31, 2025, nothing has been transacted under this agreement.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this agreement, we issued 16,000 shares of common stock to Mast Hill. The fair value of the shares granted to Mast Hill upon issuance was determined by using the closing day price of $12.11. Such amount net of amortization was recorded as deferred offering cost on the condensed consolidated balance sheet as of March 31, 2025. For the period ended March 31, 2025, the Company reported $45,941 as amortization expense in the condensed consolidated statement of operations, and the remaining deferred offering costs of $147,819 at March 31, 2025 are to be amortized over the remaining term of the Equity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7 – S</w:t>
      </w:r>
      <w:r>
        <w:rPr>
          <w:rFonts w:ascii="Times New Roman" w:cs="Times New Roman" w:eastAsia="Times New Roman" w:hAnsi="Times New Roman"/>
          <w:sz w:val="12"/>
          <w:szCs w:val="12"/>
          <w:b w:val="1"/>
          <w:bCs w:val="1"/>
          <w:color w:val="auto"/>
        </w:rPr>
        <w:t>egment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manages our business activities on a consolidated basis and operates as a single operating segment: Biotechnology. The accounting policies of the Biotechnology segment are the same as those described in Note 1 – Summary of Significant Accounting Policies.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Chief Executive Officer, Dr. Chen. The CODM uses net loss, as reported on our condensed consolidated statement of operations, in evaluating the performance of the biotechnology segment and determining how to allocate resources of the Company as a whole, including investing in our research and development programs and acquisition/licensing strategy. The CODM does not review assets in evaluating the results of the biotechnology segment, and therefore, such information is not presented. The following supplemental information breaks down the research and development costs for the three months ended March 31, 2025 and 2024, respectively.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NEO100</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579,462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285,612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108,461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27,064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176,555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161,734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48,832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67,397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84,912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72,710</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clinical trial expense</w:t>
            </w:r>
          </w:p>
        </w:tc>
        <w:tc>
          <w:tcPr>
            <w:tcW w:w="3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998,222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fee</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11,737,806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957,545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564,354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170,273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156,500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and deferred offering costs amortization</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167,951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544,307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121,812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23,073,745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134,905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137,299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parties’ loans</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308,922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1,387,493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(51,699)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(38,001,987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(2,938,976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9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8 –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12, 2023, the Company adopted the 2023 Equity Incentive Plan (the “2023 Plan”), which allows the issuance of up to 3,440,000 shares of the Company’s authorized and unissued common stock in the form of incentive stock options, non-qualified stock options, restricted stock units, performance share units, or other forms of equity as may be added in the future to employees, directors and consultants of the Company and its affiliates. The allowable number of shares that can be issued under the 2023 Plan increased upon the completion of the listing to 4,764,507 which represents the 20% of the fully diluted capitalization of the Company on the closing of Company’s initial public price.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and February 2024, 2,460,000 and 200,000, respectively, restricted stock units (“RSUs”) were granted to the executive officers and members of the Board of Directors further to the 2023 Plan as described above. Of the total RSUs granted (tranche 1) 1,686,667 vest 100% seven months from the date that the Company lists on a national exchange, (tranche 2) 486,667 will vest in equal monthly installments over a one (1) year period commencing on the eighth month from the effective date of the listing on a national exchange and (tranche 3) 486,666 are performance-based, the vesting of which will be predicated on certain financial and operational performance metrics being met after the effective date of the listing on a national exchange as set forth the grant agreements. Since tranche 3 is performance based, it is not yet probable that all of the performance vesting conditions will be met and as such no expense has been recognized for tranche 3 as of March 31,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23, 2024, 200,000 RSUs were granted to each of the CEO and the Executive Chairman, for a total of 400,000, and 100,000 granted to two members of the Board of Directors were canceled. These RSUs vest 100% seven months from the date the Company lists on a national exchange.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2025, 150,000 RSUs were granted to the three board members, in the amount of 50,000 each. These RSUs vest 100% seven months from the date the Company lists on a national exchange.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March 26, 2025, the Company determined that no expense should be recognized for the RSUs since the contingency related to the commencement of vesting (i.e., the listing) of the RSUs had not been met. On March 26, 2025, the listing occurred, satisfying the contingency required for vesting to begin and defining the service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RSUs at their respective grant dates to be $37,336,500, based on the price of the most recent sale of common stock prior to each grant date. For the three months ended March 31, 2025, the company recognized $23,073,745 in share-based compensation of which $22,753,463 was amortization from the date of the grant until March 26, 2025, the listing date. As of March 31, 2025, there was unamortized stock-based compensation of approximately $14,262,755 which the Company expects to recognize over approximately 1.8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related to RSUs is summarized as follows:</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6"/>
                <w:szCs w:val="16"/>
                <w:color w:val="auto"/>
              </w:rPr>
            </w:pPr>
          </w:p>
        </w:tc>
      </w:tr>
      <w:tr>
        <w:trPr>
          <w:trHeight w:val="238"/>
        </w:trPr>
        <w:tc>
          <w:tcPr>
            <w:tcW w:w="10020" w:type="dxa"/>
            <w:vAlign w:val="bottom"/>
            <w:gridSpan w:val="2"/>
          </w:tcPr>
          <w:p>
            <w:pPr>
              <w:ind w:left="466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Granted</w:t>
            </w:r>
          </w:p>
        </w:tc>
      </w:tr>
      <w:tr>
        <w:trPr>
          <w:trHeight w:val="210"/>
        </w:trPr>
        <w:tc>
          <w:tcPr>
            <w:tcW w:w="9900" w:type="dxa"/>
            <w:vAlign w:val="bottom"/>
            <w:tcBorders>
              <w:top w:val="single" w:sz="8" w:color="auto"/>
            </w:tcBorders>
            <w:shd w:val="clear" w:color="auto" w:fill="CCEEFF"/>
          </w:tcPr>
          <w:p>
            <w:pPr>
              <w:ind w:left="47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3,060,000</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47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quarter ended March 31, 2025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63"/>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3,110,000</w:t>
            </w:r>
          </w:p>
        </w:tc>
        <w:tc>
          <w:tcPr>
            <w:tcW w:w="100" w:type="dxa"/>
            <w:vAlign w:val="bottom"/>
            <w:tcBorders>
              <w:bottom w:val="single" w:sz="8" w:color="CCEEFF"/>
            </w:tcBorders>
          </w:tcPr>
          <w:p>
            <w:pPr>
              <w:spacing w:after="0"/>
              <w:rPr>
                <w:sz w:val="22"/>
                <w:szCs w:val="22"/>
                <w:color w:val="auto"/>
              </w:rPr>
            </w:pPr>
          </w:p>
        </w:tc>
      </w:tr>
      <w:tr>
        <w:trPr>
          <w:trHeight w:val="197"/>
        </w:trPr>
        <w:tc>
          <w:tcPr>
            <w:tcW w:w="1002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Released RSUs at March 31, 2025</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3,110,000 RSU’s were granted, and 1,654,500 RSU’s remain unissued in the 2023 Plan.</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9 – C</w:t>
      </w:r>
      <w:r>
        <w:rPr>
          <w:rFonts w:ascii="Times New Roman" w:cs="Times New Roman" w:eastAsia="Times New Roman" w:hAnsi="Times New Roman"/>
          <w:sz w:val="12"/>
          <w:szCs w:val="12"/>
          <w:b w:val="1"/>
          <w:bCs w:val="1"/>
          <w:color w:val="auto"/>
        </w:rPr>
        <w:t>ommitments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 of Credit Commitment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11, 2024, the Company entered into a Line of Credit Agreement (“the Agreement”) with HCWG for borrowings of up to $10.0 million. Borrowings under the Line of Credit Agreement bear interest at 10.0% per annum and increases to 14% if the Agreement is extended. Interest payments are due on the first business day of each calendar month and unpaid principal is due on October 12, 2027. No amounts have been borrowed under the facility through March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the Company issued HCWG five-year warrants to purchase up to 312,500 shares of our common stock at an exercise price of $12.00 per share. These warrants expire on October 23, 2029. As of December 31, 2024, there were 312,500 warrants issued, outstanding and fully vested. In March 2025, 162,500 warrants were exercised in a cashless exercise, resulting in the issuance of 162,500 shares of common stock. At March 31, 2025, there are 150,000 shares of common stock remaining available to be purchased under the warrant.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warrants on the grant date was determined using the Black-Scholes valuation model, with the following key assumptions: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$12.00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86%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4.82%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2.5 years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warrants at inception was $2,015,413, which was recorded as additional paid-in capital on the condensed consolidated statement of changes stockholders’ deficit for the year ended December 31, 2024, and as debt issuance costs on the balance sheet. The debt issuance costs are being amortized over the term of the line of credit and amounted to $167,951 for the three months ended March 31, 2025. At March 31, 2025 and December 31, 2024, unamortized debt issuance costs total $1,030,561 and $1,870,316, respectively, which will be amortized over the remaining 22 months of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disputes, claims, liens and litigation matters arising out of the normal course of business which could result in a material adverse effect on the Company’s combined financial position, results of operations or cash flows. Liabilities for loss contingencies arising from claims, assessments, litigation, fines and penalties and other sources are recorded when it is probable that a liability has been incurred, and the amount of the assessment can be reasonably estimated. As of March 31, 2025 and December 31, 2024, the Company had no liabilities recorded for loss contingencies, except as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 Orient EuroPharma Co.,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 w:cs="Times New Roman" w:eastAsia="Times New Roman" w:hAnsi="Times New Roman"/>
          <w:sz w:val="18"/>
          <w:szCs w:val="18"/>
          <w:i w:val="1"/>
          <w:iCs w:val="1"/>
          <w:color w:val="auto"/>
        </w:rPr>
        <w:t>perillyl alcoho</w:t>
      </w:r>
      <w:r>
        <w:rPr>
          <w:rFonts w:ascii="Times New Roman" w:cs="Times New Roman" w:eastAsia="Times New Roman" w:hAnsi="Times New Roman"/>
          <w:sz w:val="18"/>
          <w:szCs w:val="18"/>
          <w:color w:val="auto"/>
        </w:rPr>
        <w:t>l (“Licensed Product”), in the territories specified in the license agreement (“Territory”).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$4,000,000 payable by the Company to OEP within ten days of the date the Company completes its initial public offering. The Company has a litigation settlement payable of $4,000,000 in the accompanying condensed consolidated balance sheets as of March 31, 2025 and December 31, 2024. As of the date of this filing, the Company has not paid the litigation settlement amount.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IPLSA. This matter was settled on October 16, 2023, and the Company agreed to pay the vendor $600,000 within 5 business days of the close of the date that the Company completes an IPO or March 31, 2024, whichever occurs first. The Company has a litigation settlement payable in the accompanying condensed consolidated balance sheet at March 31, 2025 and December 31, 2024. As of the date of this filing, the Company has not paid the litigation settlement amount.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2024, a vendor agreed to extend the payment until May 15, 2024 for payment of an additional $25,000, payable on demand. On July 25, 2024, the arbitrator granted the implementation of interest at the statutory rate on the unpaid balance commencing May 15, 2024 until paid, therefore an additional $7,500 of interest expense is recognized in the accompanying condensed consolidated statement of operations during the three months ended March 31, 2025. At March 31, 2025 and December 31, 2024, $48,750 and $41,250 of accrued interest is included in litigation settlement payable in the accompanying condensed consolidated balance sheet at March 31,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10 – S</w:t>
      </w:r>
      <w:r>
        <w:rPr>
          <w:rFonts w:ascii="Times New Roman" w:cs="Times New Roman" w:eastAsia="Times New Roman" w:hAnsi="Times New Roman"/>
          <w:sz w:val="12"/>
          <w:szCs w:val="12"/>
          <w:b w:val="1"/>
          <w:bCs w:val="1"/>
          <w:color w:val="auto"/>
        </w:rPr>
        <w:t>ubsequent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7, 2025, the Company entered into a new lease agreement for office space, located in Calabasas, California. The lease term is 5 years and three months commencing on April 14, 2025, with monthly lease payments of approximately $6,778. The lease includes a security deposit of $47,176 and price increases of 3% each year.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Capitalized terms used herein, but not otherwise defined, shall have the meaning ascribed to those terms in the “Part I - Financial Information,” including the related notes to the consolidated financial statements contained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company (f/k/a NAS-ONC, Inc.) was formed in 2008, devoted to developing new drugs with new delivery modes. As a clinical-stage biopharmaceutical company, we have focused on establishing superior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NeOnc’s lead product candidate is NEO100. NEO100 is administered to patients via intranasal delivery. We have completed human safety testing in a Phase 1 clinical trial and are currently conducting preliminary efficacy testing in a Phase 2a trial with recurrent malignant glioma (Grade IV IDH1 mutant and Grade III Astrocytoma IDH1 mutant) patients. NeOnc is also developing a second product candidate, NEO212, which has completed preclinical testing, and an investigational new drug (IND) application has been filed and accepted with the United States Food and Drug Administration (FDA). The company has started Phase 1 clinical trials with patients harboring primary and secondary malignant brain cancer types. Several additional drug candidates are in the pipeline and are undergoing preclinical development.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 other than for humanitarian usage. From inception through March 31, 2025, we had raised an aggregate of approximately $29.3 million of gross proceeds through the sale and issuance of preferred stock and common stock, and approximately $11.7 million through the issuance of notes payable from HCWG, a related party (which was converted to common stock on June 30, 2024).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its inception, we have incurred significant operating losses. Our net loss was $38,001,987 and $2,938,976, for the three months ended March 31, 2025 and 2024, respectively. We had an accumulated deficit of $88,610,432 at March 31, 2025.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our product candidates. In addition, if we obtain regulatory approval for our product candidates and do not enter a third-party commercialization partnership, we expect to incur significant expenses related to developing our commercialization capability to support product sales, marketing, manufacturing, and distribution activities.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financial statements as of and for the year ended December 31, 2024 included an explanatory paragraph indicating that there was substantial doubt about our ability to continue as a going concern. See Note 1 to our l financial statements for additional information on our assessment.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occasionally receive a fee from a patient for a “right to try” humanitarian program. Such revenues are not part of our core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legal and professional expenses and (iii) general and administrative expenses.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and development activities, including our product candidate discovery efforts and preclinical and clinical studies under our research programs, which include:</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our research and development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that conduct research and development and preclinical and clinical activities on our behalf;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manufacturing drug products and drug supply related to our current or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conducting preclinical studies and clinical trials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professional fees related to research and development activities, including equity-based compensation to non-employees;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maintaining our laboratory, including purchasing laboratory supplies and non-capital equipment used in our preclinical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and other allocated expenses, which include expenses for rent and maintenance of facilities, insurance, depreciation and other supplies.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using data such as information provided to us by our vendors and analyzing the progress of our preclinical and clinical studies or other services performed.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cannot reasonably estimate or know the nature, timing, and estimated costs of the efforts that will be necessary to complete development of our current or future product candidates. We are also unable to predict when, if ever, material net cash inflows will commence from the sale of our product candidates, if they are approved. This is due to the numerous risks and uncertainties associated with developing product candidates, including the uncertainty of:</w:t>
      </w:r>
    </w:p>
    <w:p>
      <w:pPr>
        <w:spacing w:after="0" w:line="180"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and clinical trials and other research and development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of the products following any regulatory approval.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current and future product candidates would significantly change the costs and timing associated with the development of those product candidates.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we commence clinical trials and continue the development of our current and future product candidates. However, we do not believe that it is possible at this time to accurately project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Legal and professional expenses consist of costs related to corporate and intellectual property legal costs and accounting and auditing fees. We also anticipate increased expenses associated with being a public company, including costs for audit, legal, regulatory and tax-related services related to compliance with the rules and regulations of the Securities and Exchange Commission, or the SEC, and listing standards applicable to companies listed on a national securities exchange, director and officer insurance premiums, and investor relations costs.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salaries and other compensation-related costs, including stock-based compensation, for personnel in executive, finance and accounting, business development, operations and administrative roles. Other significant costs include insurance costs, travel costs, facility and office-related costs not included in research and development expenses.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our business expands to support expected growth in research and development activities, including our future clinical programs. These increases will likely include increased costs related to the hiring of additional personnel and fees to outside service providers, among other expenses. In addition, if we obtain regulatory approval for any of our product candidates and do not enter a third-party commercialization collaboration, we expect to incur significant expenses related to building a sales and marketing team to support product sales, marketing and distribution activities.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 based compensation expense result from the recognition of the fair value of restricted stock units (RSU) recorded on a straight-line basis from the date of grant to the date the RSU becomes fully vested.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primarily results from the bridge loan and a short-term loan both from related parties. Borrowings under these loans carry a 50% (or 1 times amounts borrowed) original issue discount (“OID”) on principal. The OID to be earned under the bridge loan is recognized ratably over the term of each draw-down under the loan through the maturity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on debt issuance costs resulted from the grant of warrants for a line of credit commitment. The fair value of the warrants was determined using the Black Scholes valuation method and the fair value is being amortized over the term of the line of credit commitment.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on deferred offering costs resulted from the issuance of common stock in connection with a private equity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8"/>
                <w:szCs w:val="18"/>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39,990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998,222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614,517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383,705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80" w:type="dxa"/>
            <w:vAlign w:val="bottom"/>
          </w:tcPr>
          <w:p>
            <w:pPr>
              <w:spacing w:after="0"/>
              <w:rPr>
                <w:sz w:val="18"/>
                <w:szCs w:val="18"/>
                <w:color w:val="auto"/>
              </w:rPr>
            </w:pPr>
          </w:p>
        </w:tc>
        <w:tc>
          <w:tcPr>
            <w:tcW w:w="12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957,545</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564,354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393,191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849,485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415,612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433,873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tcPr>
          <w:p>
            <w:pPr>
              <w:spacing w:after="0"/>
              <w:rPr>
                <w:sz w:val="18"/>
                <w:szCs w:val="18"/>
                <w:color w:val="auto"/>
              </w:rPr>
            </w:pPr>
          </w:p>
        </w:tc>
        <w:tc>
          <w:tcPr>
            <w:tcW w:w="12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23,073,745</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23,073,745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Advisory fee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11,737,806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11,737,806</w:t>
            </w:r>
          </w:p>
        </w:tc>
      </w:tr>
      <w:tr>
        <w:trPr>
          <w:trHeight w:val="209"/>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37,616,803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1,594,483</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36,022,320</w:t>
            </w:r>
          </w:p>
        </w:tc>
        <w:tc>
          <w:tcPr>
            <w:tcW w:w="100" w:type="dxa"/>
            <w:vAlign w:val="bottom"/>
            <w:tcBorders>
              <w:bottom w:val="single" w:sz="8" w:color="CCEEFF"/>
            </w:tcBorders>
          </w:tcPr>
          <w:p>
            <w:pPr>
              <w:spacing w:after="0"/>
              <w:rPr>
                <w:sz w:val="18"/>
                <w:szCs w:val="18"/>
                <w:color w:val="auto"/>
              </w:rPr>
            </w:pPr>
          </w:p>
        </w:tc>
      </w:tr>
      <w:tr>
        <w:trPr>
          <w:trHeight w:val="20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(37,576,813)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(36,025,330)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2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51,699</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51,699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on debt issuance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(167,951)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(308,922)</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(1,387,493)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1,078,571</w:t>
            </w:r>
          </w:p>
        </w:tc>
      </w:tr>
      <w:tr>
        <w:trPr>
          <w:trHeight w:val="223"/>
        </w:trPr>
        <w:tc>
          <w:tcPr>
            <w:tcW w:w="7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(38,001,987</w:t>
            </w:r>
          </w:p>
        </w:tc>
        <w:tc>
          <w:tcPr>
            <w:tcW w:w="240" w:type="dxa"/>
            <w:vAlign w:val="bottom"/>
            <w:tcBorders>
              <w:top w:val="single" w:sz="8" w:color="CCEEFF"/>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(2,938,976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(35,063,011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was generated for fees for a “right to try” humanitarian program during 2025 and 2024.</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 by project:</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NEO100-01</w:t>
            </w:r>
          </w:p>
        </w:tc>
        <w:tc>
          <w:tcPr>
            <w:tcW w:w="4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579,462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285,612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108,461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27,064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176,555</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161,734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48,832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67,397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84,912</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72,710</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4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8"/>
                <w:szCs w:val="18"/>
                <w:color w:val="auto"/>
              </w:rPr>
            </w:pPr>
          </w:p>
        </w:tc>
      </w:tr>
      <w:tr>
        <w:trPr>
          <w:trHeight w:val="20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trial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371,503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laboratory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998,222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$998,222 and $614,517 for the three months ended March 31, 2025 and 2024, respectively. A portion of these expenses amounting to approximately $84,912 and $72,710 for the three months ended March 31, 2025 and 2024, respectively are from the University of Southern California (USC), where Dr. Chen is a member of the faculty. The total increase of $383,705 was primarily due to:</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clinical trial sites for NEO100’s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for NEO212.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of the clinical trial for NEO100-03 for a Pediatric Indication.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patient recruitment efforts.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Legal and professional expenses were $957,545 and $564,354 for the three months ended March 31, 2025 and 2024, respectively. The increase of $393,191 was primarily due to completion of the direct listing process.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$849,485 and $415,612 for the three months ended March 31, 2025 and 2024, respectively. The increase of $433,873 was primary due to a marketing campaign, rent and travel expenses.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 based compensation resulted from the granting of RSUs and is the recognition of the expense from the grant date to March 31,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Advisory Fee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advisory fee was earned on the listing date March 26,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was $308,922 and $1,387,493 for the three months ended March 31, 2025 and 2024, respectively. The interest for the three months ended March 31, 2025 relates to the short-term loan in March from a related party in the amount of $301,422 and $7,500 accrued interest for a litigation matter. The OID interest for the three months ended March 31, 2024 relates to the OID for the related party bridge loan that was converted into common stock in June of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Debt Issuance Costs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debt issuance costs were $167,951 and $0 for the three months ended March 31, 2025 and 2024, respectively. This represents the amortization of the warrants issued for the HCWG line of credit.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8"/>
          <w:szCs w:val="18"/>
          <w:color w:val="auto"/>
        </w:rPr>
        <w:t>The following table summarizes our cash flow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4174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ind w:left="400"/>
        <w:spacing w:after="0"/>
        <w:tabs>
          <w:tab w:leader="none" w:pos="1740" w:val="left"/>
          <w:tab w:leader="none" w:pos="29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Change</w:t>
      </w:r>
    </w:p>
    <w:p>
      <w:pPr>
        <w:spacing w:after="0" w:line="234" w:lineRule="exact"/>
        <w:rPr>
          <w:sz w:val="20"/>
          <w:szCs w:val="20"/>
          <w:color w:val="auto"/>
        </w:rPr>
      </w:pPr>
    </w:p>
    <w:p>
      <w:pPr>
        <w:ind w:left="360" w:hanging="355"/>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(5,650,055)  $145,748   $   (5,795,803)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11,024,372</w:t>
            </w:r>
          </w:p>
        </w:tc>
        <w:tc>
          <w:tcPr>
            <w:tcW w:w="2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(172,595)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11,196,967</w:t>
            </w: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5,374,317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5,401,165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600" w:space="720"/>
            <w:col w:w="3920"/>
          </w:cols>
          <w:pgMar w:left="320" w:top="792" w:right="339" w:bottom="1440" w:gutter="0" w:footer="0" w:header="0"/>
        </w:sectPr>
      </w:pP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$5,650,055 consisting primarily of our net loss of $38,001,987, offset by share based compensation of $23,073,745, accretion of original issue discount of $300,000, amortization of costs of $577,192, the accrued advisory fee of $8,828,565 and increases in accounts payable in the amount of $628,276. These were offset by decreases in accrued compensation in the amount of $290,108, and prepaid expenses in the amount of $765,738. During the three months ended March 31, 2024, net cash used in operating activities was $145,748 consisting primarily of our net loss of $2,938,976 less the non-cash charge of the accretion of the original issue discount on the bridge loan in the amount $1,387,493, increase in the bridge loan – expenses paid by the bridge loan provider on behalf of the Company of $476,393 and an offset by an increase in accounts payable of $1,001,066.</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financing activities was $11,024,372 consisting primarily of the sale of common stock of $11,644,005 offset by offering costs in the amount of $319,533, resulting in net offering costs of $11,324,372 and the repayment of related party loan of $600,000. During the three months March 31, 2024, cash used in financing activities was $172,595 consisting primarily of proceeds from related party loans, offset by repayment of the same related parties loans and the decrease in deferred offering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Liquidity/Going Concern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funded our operations through the sale and issuance of preferred and common stock and debt financing rounds from related and third parties.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2025 prior to our direct listing we issued 625,000 shares of common stock in a private placement at a price of $16.00 per share for gross proceeds of approximately $10,000,000. In March 2025 after our direct listing we issued 102,750 shares of common stock in a private placement at a price of $16.00 per share for gross proceeds of approximately $1,644,000.</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settlement of liabilities and commitments in the normal course of business. Since our inception, we have not generated any revenue from product sales or any other sources, except humanitarian use, and we have incurred significant operating losses. We have not yet commercialized any products and we do not expect to generate revenue from sales of any product candidates for a number of years, if ever. As reflected in the accompanying consolidated financial statements, we have incurred recurring net losses since our inception. For the three months ended March 31, 2025, the Company incurred a net loss of $38,001,987 and has an accumulated deficit of $88,610,432 at March 31, 2025. At March 31, 2025, the Company had cash totalling $5,439,210. These factors raise substantial doubt about our ability to continue as a going concern. Our ability to continue as a going concern is dependent upon our ability to raise additional funds and implement our strategies, such as executing additional licensing contracts. The consolidated financial statements do not include any adjustments that might be necessary if we are unable to continue as a going concern.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us raising additional capital and attaining and maintaining profitable operations in the future to meet our obligations and repay our liabilities arising from normal business operations when they come due. Since inception, we have funded our operations primarily through equity and debt financings and licensing income and we expect to continue to rely on these sources of capital in the future.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shareholders, in the case of equity financing, or grant unfavorable terms in licensing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our research and development, initiate and conduct preclinical studies and clinical trials, and seek marketing approval for our current and any of our future product candidates. In addition, if we obtain marketing approval for any of our current or our future product candidates, we expect to incur significant commercialization expenses related to product sales, marketing, manufacturing and distribution, which costs we may seek to offset through entry into collaboration agreements with third parties.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development programs or future commercialization efforts.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expect to finance our operations over the next 12 months primarily through existing cash balances and the proceeds from the aforementioned private placements and supplemented as necessary by funds available through our Line of Credit Agreement with HCWG and sales under the Equity Purchase Agreement, each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11, 2024, we entered into a Line of Credit Agreement with HCWG for borrowings of up to $10.0 million. Borrowings under the Line of Credit Agreement bear interest at 10.0% per annum with interest payments due on the first business day of each calendar month, with unpaid principal due by October 12, 2027. This agreement may be extended by mutual agreement for a three year period and in the event of an extension of the maturity date the interest rate will increase to 14%. In connection therewith, we issued HCWG a five-year warrant to purchase up to 312,500 shares of our common stock at a per share exercise price of $12.00.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22, 2024, we entered into an equity purchase agreement (the “Equity Purchase Agreement”) and related registration rights agreement (the “ELOC RRA”) with Mast Hill Fund, LP (“Mast Hill”) pursuant to which the Company may sell and issue to the investor, and the investor may purchase from the Company, up to $50,000,000 of Company’s common shares. Under the Equity Purchase Agreement, the Company has the right, but not the obligation, to direct Mast Hill, by its delivery to the Mast Hill of a Put Notice from time to time, to purchase Put Shares (i) in a minimum amount not less than $50,000.00 and (ii) in a maximum amount up to the lesser of (a) $750,000.00 or (b) 150% of the average trading volume of the Company’s common stock during the five trading days immediately preceding the Put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actual amount of proceeds we receive pursuant to each Put Notice (each, the “Put Amount”) is determined by multiplying the Put Amount requested by the applicable purchase price. The purchase price for each of the Put Shares equals 95% of the “Market Price,” less the Clearing Costs. Market Price is the lowest volume weighted average prices of the Company’s common shares on its principal market on any trading day during the Valuation Period. The Valuation Period is the five trading days immediately following the date on which Mast Hill receives the Put Shares in its brokerage account. Clearing Costs are all the fees incurred by Mast Hill with respect to its brokerage firm, clearing firm, Company transfer agent fees, and attorney fees, with respect to the Put Shares.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Because the purchase price per share to be paid by Mast Hill for the common shares that the Company may elect to sell to Mast Hill under the Equity Purchase Agreement, if any, will fluctuate based on the market prices of common shares prior to each sale made pursuant to the Equity Purchase Agreement, if any, it is not possible for us to predict, as of the date of this prospectus and prior to any such sales, the number of common shares that we will sell to Mast Hill under the Equity Purchase Agreement, the purchase price per share that Mast Hill will pay for shares purchased from us under the Equity Purchase Agreement, or the aggregate gross proceeds that we will receive from those purchases by Mast Hill under the Equity Purchase Agreement, if any.</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Equity Purchase Agreement, we will have discretion, subject to market demand, to vary the timing, prices, and numbers of shares sold to Mast Hill. If and when we do elect to sell shares of our common shares to Mast Hill pursuant to the Equity Purchase Agreement, after it has acquired such shares, Mast Hill may resell all, some or none of such shares at any time or from time to time in its discretion and at different prices. As a result, the other investors who purchase shares from Mast Hill in this offering at different times will likely pay different prices for those shares, and so may experience different levels of dilution and in some cases substantial dilution and different outcomes in their investment results.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of the Equity Purchase Agreement commenced on March 25, 2025 and will terminate on the earlier of (i) the date on which the Mast Hill shall have purchased Put Shares equal to the $50,000,000, (ii) twenty-four (24) months after the date of the Equity Purchase Agreement, (iii) written notice of termination by the Company to Mast Hill, (iv) the registration statement registering the Put Shares is no longer effective after the initial effective date of such registration statement, or (v) the date that, pursuant to or within the meaning of any Bankruptcy Law, the Company commences a voluntary case or any Person commences a proceeding against the Company, a receiver, trustee, assignee, liquidator or similar official is appointed for the Company or for all or substantially all of its property or the Company makes a general assignment for the benefit of its creditors.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based this estimate on assumptions that may prove to be wrong, and we may use our available capital resources sooner than we currently expect. Our future capital requirements will depend on a number of factors, including:</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and clinical trials for product candidates we may develop, if 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license or collaboration agreements we might have at such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business operations and research and development activities;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public or private equity offerings and debt financings or other sources, such as potential collaboration agreements, strategic alliances and licensing arrangements. To the extent that we raise additional capital through the sale of equity or convertible debt securities, your ownership interests may be diluted, and the terms of these securities may include liquidation or other preferences that could adversely affect your rights as a common stockholder.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raise funds through potential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 Executive Chairman of the Board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our Executive Chairman advanced the Company approximately $300,000. The advances carry a 50% (or 1 times amounts borrowed) original issue discount (“OID”) on the principal. In the event of default, interest is payable at on any unpaid balance at a rate of 10% per annum. In March 2025, further to the terms of such advance, the Executive Chairman was paid a total of $600,000 upon repayment of such advances, including OID.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including restricted stock units (RSUs), in accordance with ASC 718. RSUs are measured at fair value on the grant date based on our common stock price and expense over the vesting period. For awards with performance or market conditions, expense is recognized based on the probability of achievement and may be accelerated. We estimate forfeitures based on historical data and adjust these estimates periodically. Changes in forfeiture rates, stock price, or performance assumptions can materially affect stock-based compensation expenses. Management reviews these assumptions quarterly and updates estimates as necessary. We consider the accounting for RSUs a critical estimate due to the judgment involved and its material impact on our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have contracted with and may continue to contract with foreign vendors that are located in Europe and India. Our operations may be subject to fluctuations in foreign currency exchange rates in the future.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We do not believe that inflation had a material effect on our business, financial condition or results of operations during the three months ended March 31, 2025 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identified all of the information required to be disclosed, and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2025. Based upon their evaluation, and due to material weaknesses in our internal control over financial reporting over the accounting for complex financial instruments, our Chief Executive Officer and Chief Financial Officer concluded that our disclosure controls and procedures (as defined in Rules 13a-15(e) and 15d-15(e) under the Exchange Act) were not effective as of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Securities Exchange Act of 1934) during the quarter ended March 31,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consolidated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March 31, 2025, due to the material weakness in our internal control over duties separation, company-wide risk and communication processes, major financial transactions, related party dealings, and IT user access management. As a result, we performed additional analysis as deemed necessary to ensure that our consolidated financial statements were prepared in accordance with U.S. generally accepted accounting principles. Accordingly, management believes that the consolidated financial statements included in this Form 10-Q present fairly in all material respects our financial position, results of operations, and cash flows for the period presented.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has implemented remediation steps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 The Company can offer no assurance that these changes will ultimately have the intended effects.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on internal controls from our independent registered public accounting firm due to our status as an emerging growth company under the JOBS 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the IPLSA. This matter was settled on October 16, 2023, and the Company agreed to pay the vendor $600,000 within 5 business days of the close of the date that the Company completes an IPO or March 31, 2024, whichever occurs first. The Company recognized this as a litigation settlement expense in the accompanying consolidated statement of operations for the year ended December 31, 2023 and a litigation settlement payable in the accompany consolidated balance sheet at December 31, 2024 and December 31, 2023.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31, 2024, the vendor agreed to extend the payment until May 15, 2024 for payment of an additional $25,000. The Company has not made the payment as of October 28, 2024 and the settlement is payable on demand. Such amount is included in litigation settlement payable in the accompanying consolidated balance sheet at December 31, 2024. On July 25, 2024 the arbitrator granted the implementation of interest at the statutory rate on the unpaid balance commencing May 15, 2024 until paid.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 2022, NeOnc Technologies, Inc. and Fox Infused, LLC, a Delaware limited liability company (“Fox Infused”), entered into an Intellectual Property License and Supply Agreement effective July 1, 2022 (the “Agreement”) whereby NeOnc agreed to supply certain products to Fox Infused and license certain of our patents. We terminated the Agreement with Fox Infused on April 25, 2023. On June 6, 2023, Fox Infused filed a complaint against NeOnc in the Central District of California alleging that the termination was improper (Civil Action No. 2:23-04431). Fox Infused also filed an ex parte application for a temporary restraining order and an order to show cause on a preliminary injunction against us seeking to have the court stop the termination of the contract. Fox Infused’s temporary restraining order application was denied and the case dismissed without prejudice. Fox Infused refiled the case in arbitration before the American Arbitration Association (Case No. 01-23-0002-5020). The parties engaged in settlement discussions, and agreed to settle the dispute for a $600,000 payment by us to Fox Infused within 5 business days of the closing date of the Company’s initial public offering or March 31, 2024. The Company is currently in default under the terms of such settlement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that set forth above, 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as well as the other information in this Quarterly Report on Form 10-Q, before deciding whether to invest in shares of our common stock. If any of the following risks actually occurs, our business, results of operations and financial condition could be materially adversely affected. In this case, the trading price of our common stock would likely decline, and you might lose part or all your investment in our common stock.</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summarized below. These risks are discussed more fully in the “Risk Factors” section immediately following this summary. These risks include, but are not limited to,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9"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incur significant and increasing losses for the foreseeable future and we may never achieve or maintain profitability.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necessary capital could force us to delay, limit, reduce or terminate our product development programs, potential commercialization efforts or other operations.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shareholders, restrict our operations or require us to relinquish rights to our technologies or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our independent registered public accounting firm included a “going concern” paragraph.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Discovery, Development and Regulatory Approval</w:t>
      </w:r>
    </w:p>
    <w:p>
      <w:pPr>
        <w:spacing w:after="0" w:line="229" w:lineRule="exact"/>
        <w:rPr>
          <w:sz w:val="20"/>
          <w:szCs w:val="20"/>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of product candidates based on our technology platform is limited, and we do not know whether we will be able to develop any products of commercial value.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preclinical and clinical stages of development, are not approved for commercial sale and might never receive regulatory approval or become commercially viable.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a novel approach to the treatment of cancer, which makes it difficult to predict the time and cost of product candidate development.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early clinical trials may not be predictive of results of future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published data from our clinical trials may change as more patient data become available and are subject to audit and verification procedures that could result in material changes in the final data.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expand our product candidates and develop marketable products may not be successful.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resources to pursue a product candidate or indication and fail to capitalize on product candidates or indications that may be more profitable or for which there is a greater likelihood of success.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product development goals in the timeframes we announce and expect, the commercialization of our product candidates may be delayed and as a result our share price may decline.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approval process is expensive, time-consuming and uncertain and may prevent us or any of our existing or potential future collaboration partners from obtaining approvals for the commercialization of NEO100 and any other product candidate we develop.</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ongoing obligations and continued regulatory review, which may result in significant additional expense and limit how we manufacture and market our products.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Reliance on Third Parties</w:t>
      </w:r>
    </w:p>
    <w:p>
      <w:pPr>
        <w:spacing w:after="0" w:line="22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multiple manufacturing risks, any of which could substantially increase our costs and limit supply of our product candidates.</w:t>
      </w:r>
    </w:p>
    <w:p>
      <w:pPr>
        <w:spacing w:after="0" w:line="236"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in the development and commercialization of, or be unable to meet demand for, any product candidates, and may lose potential revenues.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supply and quality-test the ingredients for our product candidates and components for our manufacturing process.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those third parties do not perform satisfactorily, we may be unable to obtain regulatory approval for our product candidates or any other product candidates that we may develop in the future.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may in the future enter into collaboration agreements and strategic alliances to maximize the potential of our product candidates, and we may not realize the benefits of such collaborations or alliances.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establish future collaborations on commercially reasonable terms, we may have to alter our development and commercialization plans for one or more of our other development programs.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collaborations are not a guarantee of success, and all collaborations are as risky.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9"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collaboration partners, are unable to successfully commercialize any product candidate for which we receive regulatory approval, or experience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which may result in others discovering, developing or commercializing products more quickly or marketing them more successfully than us.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effective marketing, sales and distribution capabilities, the revenues that we generate may be limited and we may never become profitable.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approval, they may fail to achieve the degree of market acceptance by those in the medical community necessary for commercial success.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 for our product candidates is difficult to estimate and, if any of our assumptions are inaccurate, the actual markets for our product candidates may be smaller than our estimates.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competition for any of our product candidates for which we obtain regulatory approval.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the agreements under which we may license intellectual property rights from third parties or otherwise experience disruptions to our business relationships with our licensors, we could lose intellectual property rights that are important to our business.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proprietary information and know-how, the value of our technology and products could be adversely affected.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patent law in the United States and other jurisdictions could diminish the value of patents in general, thereby impairing our ability to protect NEO100, NEO212 and our other product candidates.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intellectual property, which could have a material adverse effect on the success of our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obtain any issued patents covering our technology, such patents could be found invalid or unenforceable if challenged in court or before the USPTO or comparable foreign regulatory authority.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position on our products for an adequate amount of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intellectual property may be subject to federal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license obligations, we could lose rights that are important to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and state laws, we could face substantial penalties and our business, financial condition, results of operations, stock price and prospects will be materially harmed.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government or third-party payors fail to provide adequate coverage, reimbursement and payment rates for our products, or if health maintenance organizations or long-term care facilities choose to use therapies that are less expensive or considered a better value, our revenue and prospects for profitability will be limited.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legislation, regulatory proposals and third-party payor initiatives that may increase costs of compliance, and adversely affect our ability to market our products, obtain collaborators, and raise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9"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attracting, motivating and retaining highly qualified personnel, we may not be able to successfully implement our business strategy.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public company experience.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engage in future acquisitions or strategic partnerships, this may increase our capital requirements, dilute our shareholders, cause us to incur debt or assume contingent liabilities, and subject us to other risks.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market and economic conditions may have serious adverse consequences on our business, financial condition, results of operations, stock price and prospects.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such as pandemics or similar future outbreaks could materially and adversely affect our preclinical studies and clinical trials, business, financial condition and results of operations.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product liability exposure, and if successful claims are brought against us, we may incur substantial liability and have to limit the commercialization of any approved products or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partners, investigators, CMOs, or CROs may engage in misconduct or other improper activities, which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net operating loss carryforwards and research and development tax credits to reduce future tax payments may be limited or restricted.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may not develop or continue to be liquid and the market price of shares of our common stock may be volatile.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 policies and potential countermeasures could disrupt our supply chain.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common stock by our stockholders could cause our share price to decline.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be diluted by future issuances of preferred stock or additional common stock.</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no current plans to pay cash dividends on our common stock, you may not receive any return on investment unless you sell your common stock for a price greater than that which you paid for it.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principal stockholders own a significant percentage of our stock and will be able to exert significant control over matters subject to stockholder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9"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disputes with former licensees of our technology, which could result in direct and indirect costs to us in defending and responding to such proceedings and could result in operational disruptions that could harm our reputation, brand and result of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as a result of operating as a public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establish and maintain effective internal controls over financial reporting, our operating results and our ability to operate our business could be harmed.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build and improve our finance and accounting systems and controls could impair our ability to comply with the financial reporting and internal controls requirements for publicly traded companies.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financial accounting standards or practices may cause adverse and unexpected revenue fluctuations and adversely affect our reported results of operations.</w:t>
      </w:r>
    </w:p>
    <w:p>
      <w:pPr>
        <w:spacing w:after="0" w:line="157"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incur significant and increasing losses for the foreseeable future and we may never achieve or maintain profitability.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 stage biopharmaceutical company, and our operations to date have been focused substantially on organizing and staffing our company, business planning, raising capital, creating, assessing, and developing our technology, establishing our intellectual property portfolio, identifying potential product candidates, undertaking preclinical studies, commencing clinical trials and manufacturing. Additionally, as an organization, we have not yet demonstrated an ability to successfully complete clinical development, obtain regulatory approvals, manufacture a commercial-scale product, or conduct sales and marketing activities necessary for successful commercialization. We have never generated any significant revenue and have incurred significant operating losses. Our net loss was $38,001,987, $11,898,464 and $14,921,065, for the three months ended March 31, 2025 and the years ended December 31, 2024 and 2023, respectively. As of March 31, 2025, we had an accumulated deficit of $88,610,432. We expect to continue to incur significant and increasing operating losses for the foreseeable future. Our prior losses, combined with expected future losses, have had and will continue to have an adverse effect on our shareholders’ deficit and working capital.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it will be several years, if ever, before we have a commercialized product. The net losses we incur may fluctuate significantly from quarter to quarter and year to year. We anticipate that our expenses will increase substantially if, and as, we:</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Phase II clinical trial for our lead product candidate, NEO100;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planned and future clinical trials of NEO100 or NEO212 in other cancer indications;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new product candidates, and conduct research and development activities,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preclinical,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and strengthen our internal manufacturing capabilities, including the expansion and upgrade of our in-house manufacturing facility;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clinical, scientific and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 for which we may obtain regulatory approval and we commercialize on our own or in collaboration with others;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operating as a public company following our recent direct listing.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obtaining regulatory approval for product candidates and manufacturing, marketing and selling products for which we may obtain marketing approval and satisfying any post-marketing requirements. We are only in the development stages of most of these activities. We may never succeed in these activities and, even if we do, may never generate revenue that is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or even continue our operations. A decline in the value of our company could also cause you to lose all or part of your investment.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advance the development of our product candidates, which may not be available on acceptable terms, or at all. Failure to obtain this necessary capital could force us to delay, limit, reduce or terminate our product development programs, potential commercialization efforts or other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Our operations have consumed substantial amounts of cash since inception. We expect to continue to spend substantial amounts to continue the preclinical and clinical development of, and seek regulatory approval for, our current and future product candidates. If we are able to gain marketing approval of any product candidate that we develop, including NEO100 and NEO212, we will require significant additional amounts of cash in order to launch and commercialize such product either alone or in collaboration with others. Because the design and outcome of our ongoing, anticipated and any future clinical trials is highly uncertain, we cannot reasonably estimate the actual amounts necessary to successfully complete the development and commercialization of any product candidate we develop.</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25" w:lineRule="exact"/>
        <w:rPr>
          <w:sz w:val="20"/>
          <w:szCs w:val="20"/>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NEO100, NEO212 and our other product candidates and programs, and of conducting preclinical studies and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NEO100, NEO212 and future product candidates we develop if clinical trials are successful;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future collaborations;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any approved product, including marketing, sales and distribution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equipping, and operating our current and planned manufacturing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NEO100, NEO212 and future product candidates for clinical trials in preparation for marketing approval and commercialization;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licensing or other arrangements and the financial terms of such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seeking FDA and any other regulatory approvals for any future product candidates;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or other patent challenge costs and the outcome of such litigation or other patent challenges;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future products,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cancer therapies and other adverse market developments;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medical and business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facilities or building out our laboratory space;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recent disruptions to and volatility in the credit and financial markets in the United States and the overall impact of the COVID-19 pandemic.</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efforts. Until we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We expect to finance our operations over the next 12 months primarily through existing cash balances and supplemented as necessary by funds available through our Line of Credit Agreement with HCWG and sales under the Equity Purchase Agreement, each as described below. We have based this estimate on assumptions that may prove to be wrong, and we may use our available capital resources sooner than we currently expect. In addition, because the design and outcome of our anticipated and any future clinical trials is highly uncertain, we cannot reasonably estimate the actual amounts necessary to successfully complete the development and commercialization of NEO100, NEO212 or any future product candidates. Accordingly, we will be required to obtain further funding to achieve our business objectives.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other than for humanitarian uses of less than $83,000 per year and may never become profitable.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recognized point-in-time revenue of $39,990, $83,000 and $70,462, for the three months ended March 31, 2025 and the years ended December 31, 2024 and 2023, respectively. Our ability to generate revenue from product sales and achieve profitability depends on our ability, alone or with future partners, to successfully complete the development of, and obtain the regulatory approvals necessary to commercialize, our development programs. We have no products approved for commercial sale, have not generated any revenue from product sales, and do not anticipate generating any revenue from product sales until after we have received marketing approval for the commercial sale of a product candidate, if ever. Our ability to generate revenue and achieve profitability depends heavily on our success in achieving a number of goals, including:</w:t>
      </w:r>
    </w:p>
    <w:p>
      <w:pPr>
        <w:spacing w:after="0" w:line="187"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regarding, and preclinical and clinical development of, product candidates and programs, including NEO100 and NEO212, and identifying and developing new product candidates;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use and sell products generated by our existing or future manufacturing processes for NEO100, NEO212 and future product candidates, including at our existing manufacturing facility and/or by establishing and maintaining supply and manufacturing relationships with third parties;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approvals, either directly by establishing a sales force and marketing, medical affairs and distribution infrastructure or, alternatively, with a collaborator or distributor;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healthcare coverage and adequate reimbursement for our future products,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product candidates that we develop as viable treatment options;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 developing new product candidates;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trademarks, trade secrets, and know-how;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NEO100, NEO212 or any future product candidates that we develop are approved for commercial sale, we anticipate incurring significant costs associated with commercializing any such product candidate that we commercialize on our own or in collaboration with others.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successful in obtaining regulatory approvals to market NEO100, NEO212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indications approved by regulatory authorities are narrower than we expect, the labels for our product candidates contain significant safety warnings, regulatory authorities impose burdensome or restrictive distribution requirements, or the reasonably accepted patient populations for treatment are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or securities convertible or exchangeable into common stock, your ownership interest may be diluted. Any future debt financings we undertake, if available, are likely to involve restrictive covenants limiting or restricting our ability to take specific actions, such as incurring additional debt, making capital expenditures or declaring dividends. If we raise additional funds through licensing or collaboration arrangements with third parties, we may have to relinquish valuable rights to our product candidates, or grant licenses on terms that are not favorable to us. We also could be required to seek collaborators for product candidates at an earlier stage than otherwise would be desirable or relinquish our rights to product candidates or technologies that we otherwise would seek to develop or commercialize ourselves.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Failure to obtain capital when needed on acceptable terms may force us to delay, limit or terminate our product development and commercialization of our current or future product candidates, which could have a material and adverse effect on our business, financial condition, results of operations, stock price and prospects. Securing additional financing could also require a substantial amount of time from our management and may divert a disproportionate amount of their attention away from daily activities, which may adversely affect our management’s ability to oversee the development of NEO100, NEO212 or any future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included a “going concern” explanatory paragraph.</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for the years ended December 31, 2024 and 2023 included an explanatory paragraph indicating that there was substantial doubt about our ability to continue as a going concern. If we are unable to raise additional capital as and when needed, our business, financial condition and results of operations will be materially and adversely affected, and we may be forced to delay our development efforts, limit our activities and reduce research and development costs. If we are unable to continue as a going concern, we may have to liquidate our assets, and the values we receive for our assets in liquidation or dissolution could be significantly lower than the values reflected in our consolidated financial statements. The inclusion of a going concern explanatory paragraph by our independent registered public accounting firm, our lack of cash resources and our potential inability to continue as a going concern may materially adversely affect our share price and our ability to raise new capital, enter into licensing and collaboration arrangements or other contractual relationships with third parties and otherwise execute our development strategy.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Risks Related to Product Discovery, Development and Regulatory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of product candidates based on our technology platform is limited, and we do not know whether we will be able to develop any products of commercial value.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novel product candidates and to successfully develop and commercialize those product candidates. While we have had preclinical and clinical study results for NEO100 and preclinical results for NEO212, to date, these remain our only product candidates that have moved into clinical trials. We have not yet succeeded and may not succeed in demonstrating efficacy and safety in order to be able to commercialize NEO100 or NEO212. We also may be unsuccessful in identifying additional product candidates beyond NEO100 and NEO212, and any of our product candidates may be shown to have harmful side effects or may have other characteristics that may necessitate additional clinical testing, or make the product candidates unmarketable or unlikely to receive marketing approval. Similarly, adverse developments with respect to other companies that attempt to use a similar approach to our approach may adversely impact the actual or perceived value and potential of our discovery platform and resulting product candidates.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these events occur, our ability to successfully discover, develop and commercialize any product candidates may be impaired and the value of our company could decline significantly.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preclinical and clinical stages of development, are not approved for commercial sale and might never receive regulatory approval or become commercially viable.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product candidates are in research, preclinical or clinical development. We have not completed the development of any product candidates, we currently generate no revenue, and we may never be able to develop a marketable product. Enrollment in NEO100 Phase I was completed in September 2019, and we reported multiple data readouts in 2020. Our Phase I clinical trial – an open-label, single-arm study, of our lead product candidate, NEO100, in patients with recurrent malignant glioma (Grade IV, IDH1 mutation) – has been completed. Our Phase IIa trial of NEO100 is currently enrolling patients. We plan to enroll a total of 30 patients; 5 patients are currently enrolled. We plan to have a total of 12 sites for enrollment.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plan may change due to many unknown factors, and we may need to seek additional funds sooner than planned through equity and debt financing. We may consider new collaborations or selectively partner with our technology or programs. Even if we have sufficient funds for our current or future operating plans, we may seek additional capital if market conditions are favorable or have specific strategic considerations.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and to pursue the necessary regulatory approval processes;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INDs/IND amendments for our planned clinical trials or future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successful data from our clinical trials that support FDA conclusion of an acceptable risk-benefit profile of our product candidates in the intended populations;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and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use our existing or future manufacturing processes for the clinical and commercial manufacture of our product candidates at our existing or future manufacturing facilities or at the facilities of one or more third-party manufacturers with whom we would need to establish supply arrangements;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products we develop and their benefits and uses,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all pre-approval and post-approval regulatory requirements.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two clinical development product candidates, both of which rely in whole or in part on perillyl acid (NEO100 and NEO212). The failure of one of these two product candidates in clinical development would adversely affect our business. It may require us to discontinue developing other product candidates based on the same therapeutic approach.</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and future success substantially depend on our ability to obtain regulatory approval and license our lead product candidates successfully. Both NEO100 and NEO212 are in the early stages of clinical development. Our product candidates will require additional clinical and nonclinical development, regulatory review, and approval in one or more jurisdictions, a substantial investment, access to sufficient commercial manufacturing capacity, and significant marketing efforts before we can generate revenue from product sales. In addition, because NEO100 and NEO212, our most advanced product candidates are both perillyl acid-based products and because all of our other future product candidates will likely be based on similar technology, if either encounters safety or efficacy problems, developmental delays, regulatory issues, or other problems, our development plans and business for our other product candidates would be significantly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approach to the treatment of cancer, which makes it difficult to predict the time and cost of product candidate development.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currently advancing our lead product candidates, NEO100, and NEO212, through clinical development and other product candidates through preclinical development. We are still recruiting for NEO100 Phase IIa and aim to finish that trial in 2 years. After Phase IIa is completed, Phase IIb or Phase III may still have to be performed depending on the results of the studies. Oral NEO212 has been submitted for an IND for a Phase I trial in patients with primary brain cancer and brain metastasis. Twelve patients will be recruited for the Phase I trial. Afterward, a Phase IIa trial is planned to be performed for primary gliomas and metastatic brain cancer. Intranasal NEO212 is still in development and an IND will be submitted for a Phase I trial for brain metastasis. We are also working on an intranasal delivery of a chemotherapeutic agent for midline primary pediatric intracranial tumor. This development is still preliminary but is in development with multi-center pediatric neuro-oncology consortiums. Any development problems we experience in the future may cause significant delays or unanticipated costs, and we may not be able to solve any such development problems. Should we encounter development problems, including unfavorable preclinical or clinical trial results, the FDA or foreign regulatory authorities may place all, or part, of our clinical development on hold or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and obtaining regulatory approval for a sustainable, reproducible and scalable manufacturing process, or developing or qualifying and validating product release assays, other testing and manufacturing methods, and our equipment and facilities in a timely manner, which may prevent us from completing our clinical trials or commercializing our product candidates on a timely or profitable basis, if at all.</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We may need to devote significant time and resources to satisfy these requirements.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stringent regulations, and delays can occur for a variety of reasons.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obtain FDA approval to market a new small molecule drug product, we must demonstrate proof of safety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cannot be certain of the timely completion or outcome of our clinical trials and cannot predict if the FDA will accept our proposed clinical programs or if the outcome of our clinical trials will ultimately support the further development of our programs. As a result, we cannot be sure that we will be able to submit INDs or similar applications for our preclinical programs on the timelines we expect, if at all, we cannot be sure that submission of INDs or similar applications will result in the FDA or other regulatory authorities allowing clinical trials to begin and we cannot be sure that our planned clinical trials will begin on time, that our ongoing clinical trials will be completed on schedule, or that the results of any of our clinical trials will be sufficient to support regulatory approval.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Conducting clinical development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testing and studies may cause us to incur additional operating expenses. We may experience delays in initiating or completing clinical trials. We also may experience numerous unforeseen events during, or as a result of, any ongoing or future clinical trials that we could conduct that could delay or prevent our ability to receive marketing approval or commercialize NEO100 or any future product candidates, including:</w:t>
      </w:r>
    </w:p>
    <w:p>
      <w:pPr>
        <w:spacing w:after="0" w:line="183" w:lineRule="exact"/>
        <w:rPr>
          <w:sz w:val="20"/>
          <w:szCs w:val="20"/>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conduct a clinical trial at a prospective trial site, or amend trial protocols, or may require that we modify or amend our clinical trial protocols;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and/or contract research organizations (CROs);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unsuccessful development of nasal inhaler devices used to deliver NEO100;</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 or may elect to participate in alternative clinical trials sponsored by our competitors with product candidates that treat the same indications as our product candidates;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related to the COVID-19 pandemic or similar future pandemics, which may result in clinical site closures, delays to patient enrollment, patients withdrawing prior to receiving treatment (e.g., catheter implantation failure), patients discontinuing their treatment or follow up visits or changes to trial protocols;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trial sites or individual clinical investigators may fail to comply with regulatory requirements or the clinical trial protocol, or meet their contractual obligations to us in a timely manner, or at all, or we may be required to engage in additional clinical trial site monitoring;</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emergent drug-drug interactions between NEO100 and any of the other therapeutic agents given to the clinical trial subjects or other unexpected characteristics of the product candidate, or due to findings of undesirable effects caused by a pharmacologically, chemically or mechanistically similar therapeutic or therapeutic candidate;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could be adopted in marketing approval policies during the development period, rendering our data insufficient to obtain marketing approval;</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statutes or regulations could be amended, or new ones could be adopted;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could be adopted in the regulatory review process for submitted product applications;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product manufacture or to pay the substantial user fees required by the FDA upon the submission of a NDA or equivalent authorizations from comparable foreign regulatory authorities;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or gather, as applicable, additional clinical trials, analyses, reports, data, or preclinical trials, or we may abandon product development programs;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 and the FDA or comparable foreign regulatory authorities may require changes to our study designs that make further study impractical or not financially prudent;</w:t>
      </w:r>
    </w:p>
    <w:p>
      <w:pPr>
        <w:spacing w:after="0" w:line="17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ultimately disagree with the design or our conduct of our preclinical studies or clinical trials, finding that they do not support product candidate approval;</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clinical trial or extend its duration;</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trial design, including endpoints, or our interpretation of data from preclinical studies and clinical trials or find that a product candidate’s benefits do not outweigh its safety risks;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manufacturing facilities for clinical and future commercial supplies;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New Drug Application or other comparable submission in foreign jurisdictions or to obtain regulatory approval in the United States or elsewhere;</w:t>
      </w:r>
    </w:p>
    <w:p>
      <w:pPr>
        <w:spacing w:after="0" w:line="2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44" w:name="page45"/>
    <w:bookmarkEnd w:id="44"/>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take longer than we anticipate to make a decision on our product candidates; and</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 including, for example due to a longer-and/or-higher-than-expected response rate determination in the active comparator group or a shorter-and/or-lower-than-expected response rate determination in the experimental drug group.</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clinical testing or marketing approvals, and we may not have sufficient funding to complete the testing and approval process for any of our current or future product candidates. We may be required to obtain additional funds to complete clinical trials and prepare for possible commercialization of our product candidates. We do not know whether any preclinical tests or clinical trials beyond what we currently have planned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Any delays in our clinical development programs may harm our business, financial condition and results of operations significantly.</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foreign regulatory authorities.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product candidate being studied in relation to other available therapies, including any new drugs that may be approved for the indications we are investigating.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The enrollment of patients depends on many factors, including:</w:t>
      </w:r>
    </w:p>
    <w:p>
      <w:pPr>
        <w:spacing w:after="0" w:line="176"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under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enrolled subjects will drop out before completion of the trial, including as a result of emergent drug-drug interactions between NEO100 and any of the other therapeutic agents given to the clinical trial subjects, contracting COVID-19 or other health conditions or being forced to quarantine;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of consent for any reasons;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limitations of protocol design;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protocol amendment by the sponsor and/or as requested by applicable regulatory authorities.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planned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competing clinical trial.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anticipated and any future clinical trials would result in significant delays or may require us to abandon one or more clinical trials altogether. Enrollment delays in our clinical trials may result in increased development costs for our product candidates, which could have an adverse effect on our business, financial condition, results of operations, and prospects. In addition, disruptions caused by the COVID-19 pandemic may increase the likelihood that we encounter patient enrollment difficulties.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may not be predictive of results of future clinical trials.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lead product candidate, NEO100, we completed Phase I enrollment and reported multiple data readouts in 2021 and 2022. For our Phase IIa clinical trial, we expect the final readout by the end of 2024. Clinical development is expensive and can take many years to complete, and its outcome is inherently uncertain. NEO100 may not perform as we expect in clinical trials, particularly in our open label, randomized, and controlled Phase II clinical trial, may ultimately have a different or no impact on malignant gliomas, may have another mechanism of action than we expect, and may not ultimately prove to be safe and effective.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results of previous clinical trials of NEO100 and NEO212 and results of preclinical studies or early clinical trials of any other product candidate we may develop, may not be predictive of the results of subsequent and later-stage clinical trials.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We do not have experience in designing a registration-stage clinical trial and may be unable to design and execute a clinical trial to support marketing approval.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future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variations in conducting clinical trial at different sites, changes in medical practice, FDA requirements based on agency guidelines or precedence which may be more strict for a Phase II clinical trial, the rate of dropout among clinical trial participants and changes in the manufacturing process. Moreover, should there be an issue with the design of any of our clinical trials, our results may be impacted. We may not discover such a flaw until the clinical trial is at an advanced stage.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From time to time, we may also disclose interim data from our clinical trials. Interim, topline, and preliminary data from clinical trials that we may complete are subject to the risk that one or more of the clinical outcomes may materially change as patient enrollment continues and more patient data become available. Adverse differences between preliminary, interim or topline data and final data could significantly harm our business prospects.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NEO100 and any future product candidates may be harmed, which could harm our business, operating results, prospects, or financial condition.</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(including emergent drug-drug interactions between NEO100 and any of the other therapeutic agents given to the clinical trial subjects) or other unexpected properties of our current or future product candidates may be identified during development or after approval, which could halt their development or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date, NEO100 is the only product candidate we have tested in humans. As we continue our development of NEO100 and initiate clinical trials of any future product candidates, serious adverse events, undesirable side effects or unexpected characteristics may emerge or be reported, causing us to abandon these product candidates or limit their development to more narrow uses or subpopulations in which the serious adverse events, undesirable side effects or other characteristics are less prevalent, less severe or more acceptable from a risk-benefit perspective. Even if our product candidates initially show promise in early clinical trials, the side effects of therapies are frequently only detectable after they are tested in large, Phase II or Phase III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candidates, or the result of drug-drug interactions between our product candidate and any of the concomitant therapies given to the trial subjects, we, the FDA or comparable foreign regulatory authorities, or IRBs and other reviewing entities, could interrupt, delay, or halt clinical trials and could result in a more restrictive label, a Risk Evaluation and Mitigation Strategy (REMS) or the delay or denial of regulatory approval by the FDA or comparable foreign regulatory authorities. The FDA or comparable foreign regulatory authorities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Any requests from the FDA or comparable foreign regulatory authority for additional data or information could also result in substantial delays in the approval of our product candidates.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Drug-related side effects could also affect subject recruitment or the ability of enrolled subjects to complete the trial or result in potential product liability claims. Any of these occurrences may harm our business, financial condition and prospects significantly.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from the marketplace;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therapeutic-related side effects could affect patient recruitment or the ability of enrolled patients to complete the trial or result in potential product liability claims. Any of these events could prevent us from achieving or maintaining market acceptance of the particular product candidate, if approved, and could significantly harm our business, financial condition, results of operations, stock price and prospects.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many of our product candidates may be tested and, if approved, used in combination with third-party drugs and/or devices, some of which may still be in development, and we have limited or no control over the supply, regulatory status or regulatory approval of such drugs and/or devices.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developing our product candidates for use in combination with other oncology pharmaceutics, including chemotherapies and cellular and targeted therapies (e.g., immune checkpoint inhibitors). In particular, our development of NEO100 as a solvent (carrier) of other drugs and biologics to the brain will depend on our ability to access such drugs and devices on commercially reasonable terms for the clinical trials and their availability for use with the commercialized product, if approved. We cannot be certain that current or potential future commercial relationships will provide us with a steady supply of such drugs or devices on commercially reasonable terms or at all.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expense of purchasing platinum-based and other chemotherapies, or any other combination products, or any devices in the market, may delay our development timelines, increase our costs and jeopardize our ability to develop our product candidates as commercially viable therapies. If any of these occur, our business, financial condition, results of operations, stock price and prospects may be materially harmed.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our product candidates that may be used in combination with platinum-based and other chemotherapies, or any other combination products or any devices, the FDA may require us to use more complex clinical trial designs in order to evaluate the contribution of each product and product candidate to any observed effects. It is possible that the results of these trials could show that there are adverse events tied to the interaction of NEO100 with any of the other therapies, or that any positive previous trial results are attributable to the combination therapy and not our product candidates.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following product approval, the FDA may require that products or devices used in conjunction with each other be cross labeled for combined use. To the extent that we do not have rights to the other product or device, this may require us to work with a third party to satisfy such a requirement. The ability to obtain cooperation from the third party may impact our ability to respond to the FDA’s requests which could impact our ability to achieve regulatory approval. Moreover, developments related to the other product or device may impact our clinical trials as well as our commercial prospects should we receive marketing approval. Such developments may include changes to the safety or efficacy profile of the other product or device, changes to the availability of the approved product or device, and changes to the standard of care.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future collaborator or supplier of platinum-based and other chemotherapies, or any other products administered in combination, or any devices used, with our product candidates does not supply their products on commercially reasonable terms or in a timely fashion, we would need to identify alternatives for accessing these products. This could cause our clinical trials to be delayed and limit the commercial opportunities for our product candidates, in which case our business, financial condition, results of operations, stock price and prospects may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initially to develop our lead product candidate, NEO100. We anticipate pursuing clinical development of other product candidates, alone or in collaboration with our partners. Research programs to identify new product candidates require substantial technical, financial and human resources.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we obtain approval from the FDA or comparable foreign regulatory authorities to market additional product candidates for the treatment of cancer,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must prioritize our research programs and will need to focus our product candidates on the potential treatment of certain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commercially-viable products.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product development goals in the timeframes we announce and expect, the commercialization of our product candidates may be delayed and as a result our share price may decline.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Drug development is inherently risky and uncertain. We cannot be certain that we will be able to:</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IND-enabling preclinical studies or develop manufacturing processes and associated analytical methods that meet current good manufacturing practice (cGMP) requirements in time to initiate or to complete our anticipated or future clinical trials in the timeframes we announce;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sufficient clinical supply of our product candidates to support our anticipated or future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clinical trials within the timeframes we announce;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and maintain a sufficient number of subjects to complete or timely complete any clinical trials;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analyze the data from any completed clinical trials in the timeframes we announce.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actual timing of our development milestones could vary significantly compared to our estimates, in some cases for reasons beyond our control. If we are unable to achieve our goals within the timeframes we announce, the commercialization of our product candidates may be delayed and, as a result, the stock price of our common stock could fall and you may lose all of your investment.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or any of our existing or potential future collaboration partners from obtaining approvals for the commercialization of NEO100 and any other product candidate we develop.</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our product candidates, we will not be able to commercialize such product candidates in the United States or in other jurisdictions. If significant delays in obtaining approval for and commercializing our product candidates occur in any jurisdictions, our business, financial condition, results of operations, stock price and prospects will be materially harmed. Even if our product candidates are approved, they may:</w:t>
      </w:r>
    </w:p>
    <w:p>
      <w:pPr>
        <w:spacing w:after="0" w:line="189" w:lineRule="exact"/>
        <w:rPr>
          <w:sz w:val="20"/>
          <w:szCs w:val="20"/>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limitations on the indicated uses or patient populations for which they may be marketed, distribution restrictions, or other conditions of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significant safety warnings, including boxed warnings;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significant contraindications, and precautions which could reduce the size of the patient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approved with label statements necessary or desirable for successful commercialization;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ind w:left="980" w:right="2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requirements for costly post-market testing and surveillance, or other requirements, including the submission of a REMS to monitor the safety or efficacy of the products;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withdrawn from the market because of a serious safety issue becomes know after approval is granted.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takes many years even if successful, and can vary substantially in and among jurisdictions based upon a variety of factors, including the type, complexity, and novelty of the product candidates involved.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It is possible that our product candidates will never obtain the appropriate regulatory approvals necessary for us to commence product sales, or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any products for unapproved or “off-label” uses, resulting in damage to our reputation and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product candidates for which we obtain marketing approval. Promotional communications with respect to pharmaceuticals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we develop, including claims comparing our products to other companies’ products, and must abide by the FDA’s strict requirements regarding the content of promotion and advertising.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regulatory authorities in the United States generally do not restrict or regulate the behavior of physicians in their choice of treatment within the practice of medicine, physicians may in their independent medical judgment choose to prescribe products for uses that are not described in the product’s labeling and for uses that differ from those tested in clinical trials and approved by the regulatory authorities. Regulatory authorities do, however, limit communications by biopharmaceutical companies concerning off-label use. Therefore, we are prohibited from marketing and promoting the products for indications and uses that are not specifically approved by the FDA.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found to have impermissibly promoted any products that we may develop,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federal government has also requested that companies enter into consent decrees or permanent injunctions under which specified promotional conduct is changed or curtailed.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promotion of biopharmaceutical products is subject to additional FDA requirements and restrictions on promotional statements. If after one or more of our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Engaging in the impermissible promotion of our products, in the United States,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(FCA) lawsuits against manufacturers of drugs and small molecule products have increased significantly in volume and breadth, leading to several substantial civil and criminal settlements, up to $3.0 billion, pertaining to certain sales practices and promoting off-label uses. In addition, FCA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Obtaining and maintaining marketing approval of our product candidates in one jurisdiction would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If we obtain approval for any product candidate and ultimately commercialize that product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we will be subject to ongoing obligations and continued regulatory review, which may result in significant additional expense and limit how we manufacture and market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or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cGMP requirements relating to manufacturing, quality control, quality assurance, and corresponding maintenance of records and documents, and GCPs for any clinical trials that we conduct post-approval.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any of our suppliers or collaborators, including our contract manufacturers, could be subject to periodic unannounced inspections by the FDA to monitor and ensure compliance with cGMPs and other FDA regulatory requirements. Application holders must further notify the FDA, and depending on the nature of the change, obtain FDA pre-approval for product and manufacturing changes.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of the product being less effective than previously thought or other problems with our products, manufacturers or manufacturing processes, or failure to comply with regulatory requirements both before and after approval, may yield various negative results, including:</w:t>
      </w:r>
    </w:p>
    <w:p>
      <w:pPr>
        <w:spacing w:after="0" w:line="176"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distribution, or marketing of such products;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New Drug Application boxed warnings, contraindications, precautions, and restrictions on the approved indication or use;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similar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candidate is 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alleging violations;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 candidate;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FDA’s policies or those of comparable foreign regulatory authorities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any of the above actions take place, we could be prevented from or significantly delayed in achieving profitability. Further, the cost of compliance with post-approval regulations may have a negative effect on our operations and business and could adversely impact our business, financial condition, results of operations, stock price and prospects.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multiple manufacturing risks, any of which could substantially increase our costs and limit supply of our product candidates.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manufacture of active pharmaceutical ingredients (API) and finished dosage form (FDF) drug products requires significant expertise and capital investment, including the development of advanced manufacturing techniques and process controls. Manufacturing must strictly comply with regulatory requirements governing current Good Manufacturing Practices (cGMP). The process of manufacturing API and FDF products, including our product candidates, is complex, time-consuming, highly-regulated and costly.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Manufacturers of small molecule API and FDFs often encounter difficulties in production, particularly in scaling up initial production, with such risks including:</w:t>
      </w:r>
    </w:p>
    <w:p>
      <w:pPr>
        <w:spacing w:after="0" w:line="162"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including stability of the product candidate and quality assurance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or key raw materials or components;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 candidates are made could be adversely affected by equipment failures, labor and raw material shortages, natural disasters, power failures and numerous other factors;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products may result in shipment delays, inventory shortages, lot failures, product withdrawals or recalls, or other interruptions in the supply of our product candidates. We may also have to take inventory write-offs and incur other charges and expenses for product candidate batches that fail to meet specifications, undertake costly remediation efforts or seek more costly manufacturing alternatives.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Such manufacturing changes may require separate regulatory approvals before being implemented.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relying on contract manufacturing organizations (CMOs) to conduct large-scale manufacture of NEO100 and NEO212 API and FDF in the future. The inability to identify and contract with suitable CMOs or their failure to meet their obligations to us could affect our ability to develop or commercialize NEO100 in a timely manner.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FDA, state or a comparable foreign regulatory authority does not approve our manufacturing facility for the manufacture of our product candidates or if it withdraws any such approval in the future, or our current facility is unable to meet our volume requirements to fail to comply with cGMP regulations, we may need to find alternative manufacturing facilities, which would significantly impact our ability to develop, obtain regulatory approval for or market our product candidates, if approved. Any alternative manufacturing facility would require obtaining the necessary equipment and materials and, if a third-party manufacturer, the necessary manufacturing know-how, which may take substantial time and investment. We must also receive FDA approval to use any manufacturing facility for commercial supply.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such an instance, we may need to enter into an appropriate third-party relationship. We may fail to establish manufacturing relationships or alternative arrangements for our product candidates or programs. Any product candidates we develop compete with other products and product candidates for access to manufacturing facilities. There are a limited number of manufacturers operating under cGMP regulations capable of manufacturing and filling our viral product for us and willing to do so.</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have manufactured and release any product candidates in the volumes that we require on a timely basis, or fail to comply with stringent regulations applicable to biopharmaceutical manufacturers, we may face delays in the development and commercialization of, or be unable to meet demand for, any product candidates, and may lose potential revenues.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NEO100 nor do we plan to develop our own manufacturing operations in the foreseeable future. We currently depend on third party contract manufacturers for all of our required raw materials, active pharmaceutical ingredient and finished products for our preclinical and clinical trials.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clinical product supply may be limited, interrupted, or of unsatisfactory quality or not continue to be available at acceptable prices. Any delays in obtaining adequate supplies of our product candidates that meet the necessary quality standards may delay our development or commercialization.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or our contract manufacturer(s) may be unable to comply with our specifications, applicable cGMP requirements or other FDA, state or foreign regulatory requirements of our product candidates for clinical trials and, if approved, commercial supply, and will be subject to FDA and comparable foreign regulatory authority inspection. These requirements include the qualification and validation of our contract manufacturers’ manufacturing equipment and processes. We may not be able to develop, retain or acquire the internal expertise and resources necessary for managing our ongoing contract manufacturing operations and complying with these requirements. Poor control of production processes can lead to the introduction of adventitious agents or other contaminants, or to inadvertent changes in the properties or stability of a product candidate that may not be detectable in final product testing. If we cannot successfully manufacture material that conforms to our specifications and the strict regulatory requirements of the FDA or other regulatory authorities, we will not be able to secure or maintain regulatory approval for our manufacturing facility. Any such deviations may also require remedial measures that may be costly and/or time-consuming for us to implement, particularly in areas relating to operations, quality, regulatory, facilities and information technology. Any such remedial measures imposed upon us may include the temporary or permanent suspension of a clinical trial or the temporary or permanent closure of our facility and could materially harm our business.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failure to comply with the applicable regulatory requirements, including periodic regulatory inspections, may result in regulatory enforcement actions against us or our raw material and component suppliers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consent decrees, withdrawal of product approval, environmental or safety incidents and other liabilities. If the safety of any quantities supplied is compromised due to our failure or our raw material and component suppliers’ failure to adhere to applicable laws or for other reasons, we may not be able to obtain regulatory approval for or successfully commercialize our product candidates.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problems or delays we experience in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any product candidates and may materially harm our business, financial condition, results of operations, stock price and prospects.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supply and quality-test the ingredients for our product candidates and components for our manufacturing process.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While we are responsible for the manufacturing of our product candidates, drug substance and drug product, reliance on raw material and component suppliers entails risks, including:</w:t>
      </w:r>
    </w:p>
    <w:p>
      <w:pPr>
        <w:spacing w:after="0" w:line="162"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for certain aspects of our contracted manufacturing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applicable supplier and service agreements in a manner or at a time that is costly or damaging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our third-party suppliers and service providers of our agreements with them;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third-party suppliers and service providers to comply with applicable regulatory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suppliers and service providers caused by conditions unrelated to our business or operations, including the bankruptcy of the manufacturer or service provider;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failure or refusal to supply our product candidates or components for our product candidates that we may develop could delay, prevent or impair our clinical development or commercialization efforts. In addition, we do not have any long-term commitments or guaranteed prices from our suppliers of raw materials, manufacturing equipment components or devices or combination products. In particular, any change in our suppliers could require significant effort and expertise because there may be a limited number of qualified replacements. Further, the terms of any new arrangement could be less favorable and transfer costs relating to technology and processes could be significant.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impact our ability to successfully commercialize any of our product candidates or otherwise harm our business, financial condition, results of operations, stock price and prospects. Some of these events could be the basis for FDA or other regulatory authority action, including injunction, recall, seizure or total or partial suspension of product manufacture.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and will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the FDA’s Good Laboratory Practice (GLP) regulations, as appropriate. Moreover, the FDA and comparable foreign regulatory authorities require us to comply with standards, commonly referred to as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For example, the data generated in our trials may not have been appropriately collected or documented, and thereby be deemed unreliable and the FDA or comparable foreign regulatory authorities may conclude the study findings are not adequate and require us to perform additional studies.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trials complies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one or more government-sponsored databases, e.g., ClinicalTrials.gov, within specified timeframes. Failure to do so can result in enforcement actions and adverse publicity.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also rely on other third parties to store and distribute our product candidates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certain collaboration agreements and strategic alliances to maximize the potential of our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 These transactions can entail numerous operational and financial risks, including exposure to unknown liabilities, disruption of our business and diversion of our management’s time and attention in order to manage a collaboration. We also cannot be certain that, following a strategic transaction or license, we will achieve the revenue or other anticipated benefits that led us to enter into the arrangement. Additionally,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future collaborations on commercially reasonable terms, we may have to alter our development and commercialization plans for one or more of our other development programs.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additional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collaborations are not a guarantee of success, and all collaborations are as risky, or more risky, than undertaking the activities ourselves.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potential future collaborations we might enter into for NEO100, NEO212 or our other product candidates, may pose a number of risks, including the following:</w:t>
      </w:r>
    </w:p>
    <w:p>
      <w:pPr>
        <w:spacing w:after="0" w:line="162"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of the risks relating to product development, regulatory approval and commercialization described in this prospectus also apply to the activities of any of our current or future collaborators.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Collaborations with biopharmaceutical companies and other third parties often are terminated or allowed to expire by the other party. Any such termination or expiration could adversely affect us financially and could harm our business reputation.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collaborations we have entered into or might enter into do not result in the successful development and commercialization of products or if one of our collaborators subsequently terminates its agreement with us, we may not receive any future research funding or milestone or royalty payments under such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if any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and retain key leadership and other personnel, delay their ability to review and act on our regulatory submissions, or otherwise prevent new products and services from being developed or commercialized in a timely manner, which could negatively impact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Separately, the FDA and regulatory authorities outside the United States have and may adopt restrictions or other policy measures in response to the COVID-19 pandemic or similar future pandemics that divert resources and delay their attention to any submissions we may make.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collaboration partners, are unable to successfully commercialize any product candidate for which we receive regulatory approval, or experience significant delays in doing so, our business will be materially harmed.</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or our collaboration partners, are successful in obtaining marketing approval from applicable regulatory authorities for NEO100 or any other product candidate, our ability to generate revenues from any such products will depend on our success in:</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partnerships with, or offering licenses to, third parties to promote and sell such products in foreign markets where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in sufficient quantities and at acceptable quality and cost to meet commercial demand at launch and thereafter;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patients’ willingness to pay out-of-pocket in the absence of such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other therapies;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cancer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There are a number of large biopharmaceutical and biotechnology companies that currently market and sell products or are pursuing the development of products for the treatment of solid tumors, including viral immunotherapy and cancer vaccine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of our product candidates may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authorities’ approval for their products more rapidly than we may obtain approval for ours, which could result in our competitors establishing a strong market position before we are able to enter the market. In addition, our ability to compete may be affected in many cases by third-party payors’ coverage and reimbursement decisions.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do not have a commercial infrastructure for the marketing, sale, and distribution of any products that we may develop. If and when our product candidates receive marketing approval, we intend to commercialize our product candidates on our own or in collaboration with others and potentially with pharmaceutical or biotechnology partners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 or comparable foreign regulatory authority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our product candidates. This may be costly, and our investment would be lost if we cannot retain or reposition our sales and marketing personnel.</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or alternatively decide to collaborate with third-party marketing and sales organizations to commercialize any approved product candidates,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we are unable to develop a marketing and sales infrastructure, we may not be able to commercialize our product candidates, which could limit our ability to generate product revenues and materially harm our business, financial condition, results of operations, stock price and prospects. Factors that may inhibit our efforts to commercialize our product candidates include:</w:t>
      </w:r>
    </w:p>
    <w:p>
      <w:pPr>
        <w:spacing w:after="0" w:line="176"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manage,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benefits of prescribing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personnel, including sales and marketing personnel, on compliance matters and monitoring their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coverage and adequate reimbursement by third-party payors, including government and private health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unwillingness of patients to pay out-of-pocket in the absence of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comparable foreign regulatory authorities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our personnel, including sales or marketing personnel, who fail to comply with applicable law;</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hospitals, cancer treatment centers, third-party payors and others in the medical community necessary for commercial success. The revenues that we generate from their sales may be limited, and we may never become profitable.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180"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including in combination with other cancer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cancer therapies with which our product may be co-administered;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product or those products with which it is co-administered;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is approved and the approved claims that we may make with respect to the product;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labeling of the product or the labeling approved by comparable foreign regulatory authorities, including potential limitations or warnings for our product that may be more restrictive than other competitive products;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product, which could reduce the marketing impact of any claims that we could make following FDA approval or approval by comparable foreign regulatory authorities, if obtained;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and any products with which it is co-administered;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such as private insurance companies and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have our product placed on approved formularies;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 and adequate reimbursement;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product or to which we agree as part of a REMS or voluntary risk management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as well as competitive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 for sale at competitive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raw material supplier and service provider support;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companies that market any products with which our product is co-administered;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any products with which it is co-administered,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size of the potential market for our product candidates is difficult to estimate and, if any of our assumptions are inaccurate, the actual markets for our product candidates may be smaller than our estimates. If the market opportunities for any product candidates we develop are smaller than we believe they are, our potential revenues may be adversely affected, and our business may suffer.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and will depend in large part on the drugs with which our product candidates are co-administered and the success of competing therapies and therapeutic approaches. Our estimates of the potential market opportunities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If any of the assumptions proves to be inaccurate, the actual markets for our product candidates could be smaller than our estimates of the potential market opportunities. Additionally, because of the potential that any product candidates we develop could cure a target disease, we may not receive recurring revenues from patients and may deplete the patient population prevalence through curative therapy.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early and aggressive generic competition for any of our product candidates for which we obtain regulatory approval.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(the “Hatch-Waxman Amendments”) established a streamlined and expedited regulatory approval pathway, known as an Abbreviated New Drug Application or ANDA, for identical generic versions of drug products initially approved pursuant to full clinical trials and the New Drug Application (NDA) process. This process is explained in more detail later in this document. Using this pathway, generic drug companies aggressively seek to market approved generic versions of small molecule drug products, including by challenging patents covering the original drug product. Generic drugs approved under an ANDA usually are deemed by FDA to be “therapeutically equivalent” to the original version of the drug that they copy, and accordingly, such generic products may be automatically substituted by pharmacies for patients who present a prescription for the original brand-name version of the drug.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generic drug company files an ANDA that includes a challenge to one or more of our patents covering any of our approved drugs, a specialized type of patent litigation may ensue, which may result in a court ruling that our patent(s) are invalid, unenforceable, or would not be infringed by the proposed generic version of our product. In such cases, we may face direct competition from equivalent generic versions of our product before the expiration date of our patents. Moreover, because patent litigation is inherently uncertain, many such patent cases are settled with the patent holder agreeing to allow market entry of the generic product at some point prior to expiration of the patent.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entry of generic versions of approved drugs generally has a rapid and dramatic adverse impact on the pricing that can be realized by the maker of the original drug product. If we are unable to obtain and enforce patents and regulatory exclusivities on our drug candidates, earlier than expected market entry of generic competitors could significantly adversely affect our business.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technology, including NEO100, NEO212 and our other product candidates. We also rely in part on trade secret, copyright and trademark laws, and confidentiality, licensing and other agreements with employees and third parties, all of which offer only limited protection. We seek to protect our proprietary position by filing and prosecuting patent applications in the United States and abroad related to our technology and product candidates.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generally are uncertain, involve complex legal and factual questions and have in recent years been the subject of much litigation or patent challenges in the United States Patent and Trademark Office or in corresponding patent offices. As a result, the issuance, scope, validity, enforceability and commercial value of our licensed patents and any patents we may own are highly uncertain. The steps we have taken to protect our proprietary rights may not be adequate to preclude misappropriation of our proprietary information or infringement of our intellectual property rights, both inside and outside of the United States.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the examination process may require us to narrow the claims for our pending patent applications, which may significantly limit the scope of patent protection that may be obtained if these applications issue. Our pending and future patent applications may not result in patents being issued that protect our product candidates, in whole or in part, or which effectively prevent others from commercializing competitive product candidates. In addition, the scope of a patent may also be reinterpreted after issuance. The rights that may be granted under our issued patents may not provide us with the proprietary protection or competitive advantages we are seeking. Even if our patent applications issue as patents, they may not issue in a form that will provide us with any meaningful protection, prevent competitors from competing with us or otherwise provide us with any competitive advantage. If we are unable to obtain and maintain patent protection for our technology or for NEO100, NEO212 or our other product candidates, or if the scope of the patent protection obtained is not sufficient, our competitors could develop and commercialize products similar or superior to ours in a non-infringing manner, and our ability to successfully commercialize NEO100, NEO212 or our other product candidates and future technologies may be adversely affected. It is also possible that we will fail to identify any patentable aspects of inventions made in the course of our development and commercialization activities before it is too late to obtain patent protection on them.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collaborators, and other third parties, any of these parties may breach the agreements and disclose such output before a patent application is filed, thereby jeopardizing our ability to seek patent protection. It is also possible that we will fail to identify patentable aspects of our research and development efforts in time to obtain any patent protection.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pending applications cannot be enforced against third parties practicing the inventions claimed in such applications unless and until a patent issues from such applications with a claim that covers infringing third-party activity. Because the issuance of a patent is not conclusive as to its inventorship, scope, validity or enforceability, issued patents that we license from third parties or own in the future may be challenged in the courts or patent offices in the United States and abroad, including through opposition proceedings, derivation proceedings,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proceedings, interference proceedings or litigation. Such proceedings may result in the loss of patent protection, the narrowing of claims in such patents or the invalidity or unenforceability of such patents, which could limit our ability to stop others from using or commercializing similar or identical products, or limit the duration of the patent protection for our technology. Protecting against the unauthorized use of our patented inventions, trademarks and other intellectual property rights is expensive, time consuming, difficult and in some cases may not be possible. In some cases, it may be difficult or impossible to detect third-party infringement or misappropriation of our intellectual property rights, even in relation to issued patent claims, and proving any such infringement may be even more difficult. If we are unable to obtain, maintain, and protect our intellectual property our competitive advantage could be harmed, and it could result in a material adverse effect on our business, financial condition, results of operations, stock price and prospects.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intellectual property rights that are important to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need to obtain licenses from others to advance our research and development activities or allow the commercialization of our current or future product candidates. We expect any such license agreements will impose various development, diligence, commercialization, and other obligations on us.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 intellectual property under any such license agreements. If such in-licenses were to be terminated, or if the underlying patents were to fail to provide the intended exclusivity, competitors or other third parties would have the freedom to seek regulatory approval of, and to market, products identical to ours and we may be required to cease our development and commercialization our product candidates. Any of the foregoing could have a material adverse effect on our competitive position, business, financial conditions, results of operations, and prospects.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25"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and our respective compliance therewith;</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 candidates,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we also rely on other proprietary rights, including protection of trade secrets, know-how and confidential and other proprietary information. To maintain the confidentiality of our trade secrets and proprietary information, we enter into confidentiality agreements with our employees, consultants, collaborators, contractors, and other third parties who have access to our trade secrets. Our agreements with employees and consultants also provide that any inventions conceived by the individual employee or consultant in the course of rendering services to us shall be our exclusive property. However, we may not obtain these agreements in all circumstances, and individuals with whom we have these agreements may not comply with their terms.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or that of our licensor. In addition, we cannot be certain that our trade secrets and other confidential proprietary information will not be disclosed or that competitors will not otherwise gain access to our trade secrets or independently develop substantially equivalent information and techniques.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confidential information including a breach of our confidentiality agreements. Enforcing a claim that a party illegally disclosed or misappropriated a trade secret is difficult, expensive, and time consuming, and the outcome is unpredictable. In addition, some courts in and outside of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The disclosure of our trade secrets or the independent development of our trade secrets by a competitor or other third party would impair our competitive position and may materially harm our business, financial condition, results of operations, stock price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commercial success depends on our ability and the ability of any future collaborators to develop, manufacture, market and sell NEO100, NEO212 and our other product candidates, and to use our related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may become party to, or threatened with, adversarial proceedings or litigation regarding intellectual property rights with respect to our current and any other future product candidates, including interference proceedings,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and derivation proceedings before the USPTO (or similar proceedings in foreign jurisdictions). Third parties may assert infringement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claims against us based on existing patents or patents that may be granted in the future. Numerous U.S. and foreign-issued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we are found to infringe a third party’s intellectual property rights, and we are unsuccessful in demonstrating that such intellectual property rights are invalid or unenforceable, we could be required to obtain a license from such third party to continue developing, manufacturing and commercializing NEO100, NEO212 and our other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NEO100, NEO212 or our other product candidates. In addition, in any such proceeding or litigation, we could be found liable for significant monetary damages, including treble damages and attorneys’ fees, if we are found to have willfully infringed a patent or other intellectual property right. Any of the foregoing could have a material adverse effect on our business, financial condition, results of operations, stock price and prospects. Any claims by third parties that we have misappropriated their confidential information or trade secrets could have a similar material adverse effect on our business. Defense of these claims, regardless of their merit, would involve substantial litigation expense and would be a substantial diversion of employee resources from our business.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we plan to develop our product candidates in combination with products developed by companies that may be covered by patents or licenses held by those entities to which we do not have a license or a sublicense. In the event that a labeling instruction is required in product packaging recommending that combination, we could be accused of, or held liable for, infringement of the third-party patents covering the product candidate or product recommended for administration with NEO100, NEO212 or our other product candidates. In such a case, we could be required to obtain a license from the other company or institution to use the required or desired package labeling, which may not be available on commercially reasonable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throughout the world would be prohibitively expensive, and our intellectual property rights in some countries outside the United States can be less extensive than those in the United States. In addition, the laws and practices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and/or manufacture their own products, and may export otherwise infringing products to territories where we have patent protection but where enforcement is not as strong as that in the United States. These products may compete with our products and our patent claims or other intellectual property rights may not be effective or sufficient to prevent them from so competing.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foreign jurisdictions. The legal systems of certain countries, particularly certain developing countries, do not favor the granting or enforcement of patents, trade secrets and other intellectual property protection, particularly those relating to biopharmaceuticals, which could make it difficult for us to obtain patent rights or stop the infringement of our patents or marketing of competing products in violation of our intellectual property and proprietary rights generally in those countries. Proceedings to enforce our intellectual property and proprietary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protect and enforce our intellectual property and proprietary rights around the world may be inadequate to obtain a significant commercial advantage from the intellectual property we develop or license.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laws of certain foreign countries may not protect our rights to the same extent as the laws of the United States, and those foreign laws may also be subject to change. For example, methods of treatment and manufacturing processes may not be patentable in certain jurisdictions, and the requirements for patentability may differ in certain countries. Furthermore, competitors may challenge the scope, validity and enforceability of our patents, requiring us to engage in complex, lengthy and costly litigation or proceedings.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many countries have compulsory licensing laws under which a patent owner may be compelled to grant licenses to third parties.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and results of operations may be adversely affected.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and to maintain patents after they are issued. For example, periodic maintenance fees, renewal fees, annuity fees and various other government fees on issued patents and patent applications often must be paid to the USPTO and foreign patent agencies over the lifetime of our licensed patents or any patents we own. In certain circumstances, we may rely on future licensing partners to take the necessary action to comply with these requirements with respect to licensed intellectual property. Although an unintentional lapse may be curable, depending on the jurisdiction, for a period of time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obtain and maintain the patents and patent applications covering our products or procedures, we may not be able to stop a competitor from marketing products that are the same as or similar to NEO100, NEO212 or our other product candidates, which could have a material adverse effect on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NEO100, NEO212 and our other product candidates.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or other jurisdictions in which we have or seek patent protection could increase the uncertainties and costs surrounding the prosecution of patent applications and the enforcement or defense of issued patents. Patent reform legislation in the United States and other countries, including the Leahy-Smith America Invents Act, or the Leahy-Smith Act, signed into law in the United States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stock price and prospects.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 material adverse effect on the success of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Competitors may infringe our licensed patents or any patent we own, or misappropriate or otherwise violate our intellectual property rights. Litigation may be necessary in the future to enforce or defend our intellectual property rights, to protect our trade secrets, or to determine the validity and scope of our own intellectual property rights or the proprietary rights of others.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Our licensed patents and any patents we own in the future may become involved in priority or other intellectual property related disputes. Interference or derivation proceedings provoked by third parties or brought by us or declared by the USPTO may be necessary to determine the priority of inventions with respect to our patents or patent applications. Also, third parties may initiate legal proceedings against us to challenge the validity or scope of our owned or licensed intellectual property rights. These proceedings can be expensive and time consuming. Many of our current and potential competitors have the ability to dedicate substantially greater resources to conduct intellectual property related litigations or proceedings than we can. We may not have sufficient financial or other resources to conduct such litigation or proceedings adequately. Accordingly, despite our efforts, we may not be able to prevent third parties from infringing upon or misappropriating our intellectual property. Litigation and other intellectual property related proceedings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or other intellectual property related proceeding could put one or more of our patents at risk of being invalidated, held unenforceable or interpreted narrowly.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in the United States, there is a risk that some of our confidential information could be compromised by disclosure during this type of litigation. There could also be public announcements of the results of hearings, motions or other interim proceedings or developments in any such proceedings. If securities analysts or investors perceive these results to be negative, it could have a material adverse effect on the price of shares of our common stock, and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Any of the foregoing may have a material adverse effect our business, financial condition, results of operations, stock price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our employees or any future collaborators have misappropriated their intellectual property, or claiming ownership of what we regard as our own intellectual property.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of our employees, including our senior management team, were previously employed at, or consulted for, universities or other biotechnology or pharmaceutical companies, including our competitors or potential competitors. Some of these people, including each member of our senior management team, executed proprietary rights, non-disclosure and non-competition agreements, or similar agreements, in connection with such previous employment or consulting agreements, that assigned ownership of intellectual property relating to work performed under such agreements to the contracting third party. Although we try to ensure that our employees, as well as those of our licensor and contractors, do not use, claim as theirs, or misappropriate the intellectual property, proprietary information or know-how of others in their work for us, we may be subject to claims that we or these employees have used, claimed as theirs, misappropriated or disclosed intellectual property, including trade secrets or other proprietary information, of any such individual’s current or former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Any of the foregoing may have a material adverse effect on our business, financial condition, results of operations, stock price and prospects.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confidential information of third parties or are in breach of non-competition or non-solicitation agreements with our competitors.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could be subject to claims that we or our employees, including senior management, have inadvertently or otherwise used or disclosed alleged trade secrets or other confidential information of former employers or competitors or others. Although we try to ensure that our employees and consultants do not use the intellectual property, proprietary information, know-how or trade secrets of others in their work for us, we may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NEO100, NEO212 and our other product candidates, if such technologies or features are found to incorporate or be derived from the trade secrets or other proprietary information of the former employers, competitors or other parties. An inability to incorporate such technologies or features would have a material adverse effect on our business, and may prevent us from successfully commercializing NEO100, NEO212 and our other product candidates. In addition, we may lose valuable intellectual property rights or personnel as a result of such claims. Moreover, any such litigation or the threat thereof may adversely affect our ability to hire employees or consultants. A loss of key personnel or their work product could hamper or prevent our ability to develop and commercialize NEO100, NEO212 and our other product candidates, which could have an adverse effect on our business, financial condition, results of operations, stock price and prospects.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any issued patents covering our technology, such patents could be found invalid or unenforceable if challenged in court or before the USPTO or comparable foreign regulatory authority.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initiate legal proceedings against a third party to enforce a patent covering any of our technology, the defendant could counterclaim that the patent covering our product candidate is invalid or unenforceable. In patent litigation in the United States, defendant counterclaims alleging invalidity or unenforceability are commonplace, and there are numerous grounds upon which a third party can assert invalidity or unenforceability of a patent. Grounds for a validity challenge could be, among other things, an alleged failure to meet any of several statutory requirements, including lack of novelty, obviousness, or non-enablement. Grounds for an unenforceability assertion could be, among other things,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interference proceedings, derivation proceedings and equivalent proceedings in foreign jurisdictions, such as opposition proceedings. Such proceedings could result in revocation, cancellation or amendment to our patents in such a way that they no longer cover and protect NEO100, NEO212 and our other product candidates. The outcome following legal assertions of invalidity and unenforceability is unpredictable. For example, with respect to the validity of our licensed patents or any patents we obtain in the future, we cannot be certain that there is no invalidating prior art of which we, our patent counsel or our licensing partner’s patent counsel(s), and the patent examiner were unaware during prosecution. If a third party were to prevail on a legal assertion of invalidity and/or unenforceability, we would lose at least part, and perhaps all, of the patent protection on NEO100, NEO212 and our other product candidates. Such a loss of patent protection could have a material adverse impact on our business.</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our product candidates for which we intend to seek approval as pharmacological products may face competition sooner than anticipated.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such as NEO100 and our other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Drug Price Competition and Patent Term Restoration Act of 1984 permits a patent term extension of up to five years beyond the normal expiration of the patent for the patent term lost during the FDA regulatory review process.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non-U.S. jurisdictions to extend the term of a patent that covers an approved drug. In the future, if and when our pharmaceutical products receive FDA approval, we expect to apply for patent term extensions on patents that we believe are eligible for such extension. We also intend to seek patent term extensions in other jurisdictions where these are available. However, there is no guarantee that the applicable authorities, including the FDA, will agree with our assessment of whether such extensions should be granted, and even if granted, the length of such extensions. If this occurs, our competitors may be able to take advantage of our investment in development and clinical trials by referencing our clinical and preclinical data and launch their products earlier than might otherwise be the case, which could have a material adverse effect on our business, financial condition, results of operations, stock price and prospects.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intellectual property rights we licensed from USC has been generated through the use of United States government funding and is therefore be subject to certain federal regulations. As a result, the United States government may have certain rights to intellectual property embodied in our future products and product candidates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license agreement with USC, under which we license all of our current patent rights and a significant portion of our technology for our product candidates, imposes royalty and other financial obligations on us and other substantial performance obligations. We also may enter into additional licensing and funding arrangements with third parties that may impose diligence, development and commercialization timelines and milestone payment, royalty, insurance and other obligations on us. If we fail to comply with our obligations under current or future license and collaboration agreements, our counterparties may have the right to terminate these agreements, in which event we might not be able to develop, manufacture or market any product or product candidate that is covered by these agreements or may face other penalties under the agreements. Such an occurrence could diminish the value of our products or product candidates.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it is possible that USC may conclude that we have materially breached the USC licensing agreement and might therefore terminate the agreement, thereby removing our ability to market products covered by our license agreement with USC. If the USC licensing agreement is terminated, or if the underlying patents fail to provide the intended market exclusivity, competitors would have the freedom to seek regulatory approval of, and to market, products similar or identical to ours. Moreover, if our license agreement with USC is terminated, USC may be able to prevent us from utilizing the technology covered by the licensed patents and patent applications. If we breach the agreement (including by failing to meet our payment obligations) and do not adequately cure such breach, the rights in the technology licensed to us under the USC license agreement will revert to USC at no cost to USC. This could have a material adverse effect on our competitive business position, our financial condition, our results of operations and our business prospects.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 under which we currently license intellectual property is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products or product candidates,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and evaluation of whether the proposed name implies an unapproved use or a level of safety or efficacy that is not supported by relevant data.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laws, we could face substantial penalties and our business, financial condition, results of operations, stock price and prospects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and future arrangements with healthcare providers, third-party payors, customers, and others may expose us to broadly applicable healthcare fraud and abuse, and other healthcare laws,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spacing w:after="0" w:line="180" w:lineRule="exact"/>
        <w:rPr>
          <w:sz w:val="20"/>
          <w:szCs w:val="20"/>
          <w:color w:val="auto"/>
        </w:rPr>
      </w:pPr>
    </w:p>
    <w:p>
      <w:pPr>
        <w:jc w:val="both"/>
        <w:ind w:left="980" w:hanging="324"/>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lease, order or recommendation of, any good, facility, item or service for which payment may be made, in whole or in part, under a federal healthcare program, such as the Medicare and Medicaid programs.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civil FCA, and the federal Civil Monetary Penalties Law, which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18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Food, Drug and Cosmetic Act, and its implementing regulations, which prohibits, among other things, the adulteration or misbranding of drugs, small molecule products and medical devices.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Physician Payments Sunshine Act, created under the Patient Protection and Affordable Care Act, as amended by the Health Care and Education Reconciliation Act (collectively, the ACA) and its implementing regulations, which require certain manufacturers of drugs, devices, small molecule products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requiring the registration of pharmaceutical sales representatives.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laws or regulations that apply to us, we may be subject to penalties, including significant civil, criminal, and administrative penalties, damages, monetary fines, disgorgement, imprisonment, suspension and debarment from government contracts, and refusal of orders under existing government contracts, exclusion from participation in U.S. federal or state health care programs, additional reporting requirements and/or oversight if we become subject to corporate integrity agreements or similar agreement to resolve allegations of non-compliance, contractual damages, reputational harm, diminished profits and future earnings,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may be subject to significant criminal, civil or administrative sanctions, including but not limited to, exclusions from participation in U.S. federal or state healthcare programs, which could also materially affect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such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will depend in part upon the availability of coverage and adequate reimbursement from third-party payors or placement on approved product formularies.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Third-party payors establish reimbursement levels. Therefore, even if coverage is provided, the approved reimbursement amount may not be high enough to allow us to establish or maintain a market share sufficient to realize a sufficient return on our or their investments. If reimbursement is not available, or is available only to limited levels, our product candidates may be competitively disadvantaged, and we may not be able to successfully commercialize our product candidates. Alternatively, securing favorable reimbursement terms may require us to compromise pricing and prevent us from realizing an adequate margin over cost. Our failure to obtain or maintain timely or adequate pricing or formulary placement of our products, or failure to obtain such formulary placement at favorable pricing may negatively impact our revenue.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small molecule products.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third-party payors.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trend within the healthcare industry is cost containment, both in the United States and elsewhere. Third-party payors, whether foreign or domestic, or governmental or commercial, are developing increasingly sophisticated methods of controlling healthcare costs, including use of formularies. Exclusion of a product from a formulary or other restrictions can significantly impact drug usage in the patient population and beyond. Consequently, pharmaceutical companies compete to gain access to formularies for their products, typically on the basis of unique product features, such as greater efficacy, better patient ease of use, or fewer side effects, as well as the overall cost of the therapy. Certain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 In addition, third-party payors are increasingly requiring higher levels of evidence of the benefits and clinical outcomes of new technologies, seeking performance-based discounts, and challenging the prices charged. We cannot be sure that coverage will be available for any product candidate that we commercialize and, if available, that the reimbursement rates will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United States, no uniform policy of coverage and reimbursement for products exists among third-party payors. Therefore, coverage and reimbursement for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stock price and prospects.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therapeutics, and coverage may be more limited than the indications for which the product is approved by the FDA or comparable foreign regulatory authorities. Such delays have made it increasingly common for manufacturers to provide newly approved drugs to patients experiencing coverage delays or disruption at no cost for a limited period in order to ensure that patients are able to access the drug. Moreover, eligibility for reimbursement does not imply that any therapeutic will be paid for in all cases or at a rate that covers our costs, including research, development, manufacture, sale, and distribution. Interim reimbursement levels for new therapeutics, if applicable, may also not be sufficient to cover our costs and may only be temporary.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inability to promptly obtain coverage and adequate reimbursement from third-party payors for any of our product candidates for which we obtain marketing approval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example, the ACA was passed in March 2010 and substantially changed the way healthcare is financed by both governmental and private insurers, and continues to significantly impact the United States pharmaceutical industry.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legislation enacted in 2017, informally titled 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For example, through the process created by the Budget Control Act of 2011, there are automatic reductions of Medicare payments to providers up to 2% per fiscal year, which went into effect in April 2013 and, following passage of the Bipartisan Budget Act of 2018 (BBA) and the Infrastructure Investment and Jobs Act, will remain in effect until 2031 unless additional Congressional action is taken. However, COVID-19 relief support legislation suspended the 2% Medicare sequester from May 1, 2020 through March 31, 2022. Under current legislation the actual reduction in Medicare payments will vary from 1% in 2022 to up to 4% in the final fiscal year of this sequester.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biopharmaceutical industry. For instance, the Drug Quality and Security Act of 2013 imposes obligations on manufacturers of biopharmaceutical products related to product tracking and tracing. Further, manufacturers have product investigation, quarantine, disposition, and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results of operations, stock price and prospects.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has been heightened governmental scrutiny in the United States of pharmaceutical pricing practices in light of the rising cost of prescription drugs. Such scrutiny has resulted in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2032.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directs the Secretary of HHS to establish a Drug Price Negotiation Program (the Program) to lower prices for certain single-source prescription drugs and biologics covered under Medicare Parts B and D, based on criteria established under the IRA. Under the Program, the Secretary of HHS will publish a list of “selected drugs,” and will then negotiate maximum fair prices (MFP) with their manufacturers. Beginning in 2026, the first year of the Program, the number will be limited to 10 Part D drugs and biologics. By 2029, and in subsequent years thereafter, the number will increase to 20 drugs and biologics covered under Part D and Part B.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the potential of civil monetary penalties. In August 2023, HHS released the first list of 10 drugs subject to this negotiation process. Several pharmaceutical companies had previously filed lawsuits challenging the legality of the program, but subsequently, many of those lawsuits were withdrawn as the companies decided to, at least initially, participate in the negotiation process. The possibility of renewed lawsuits could create further uncertainty about this program in the future. Further, the IRA imposes rebates under Medicare Part B and Medicare Part D to penalize price increases that outpace inflation. In addition, the Biden administration released an additional executive order on October 14, 2022, directing HHS to submit a report within ninety</w:t>
      </w:r>
    </w:p>
    <w:p>
      <w:pPr>
        <w:spacing w:after="0" w:line="7" w:lineRule="exact"/>
        <w:rPr>
          <w:sz w:val="20"/>
          <w:szCs w:val="20"/>
          <w:color w:val="auto"/>
        </w:rPr>
      </w:pPr>
    </w:p>
    <w:p>
      <w:pPr>
        <w:ind w:right="20" w:firstLine="8"/>
        <w:spacing w:after="0" w:line="260" w:lineRule="auto"/>
        <w:tabs>
          <w:tab w:leader="none" w:pos="3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on how the Center for Medicare and Medicaid Innovation can be further leveraged to test new models for lowering drug costs for Medicare and Medicaid beneficiaries.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new laws or regulations, including those that may result in additional reductions in Medicare and other healthcare funding, could have a material adverse effect on customers for our products, if approved, and, accordingly, on our results of operations.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the ACA, as well as other federal and state healthcare reform measures that may be adopted in the future, may result in more rigorous coverage criteria, increased regulatory burdens and operating costs, decreased net revenue from our biopharmaceutical products, decreased potential returns from our development efforts, and additional downward pressure on the price that we receive for any approved product. It is also possible that additional governmental action is taken in response to the COVID-19 pandemic. 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and other consequences, which could adversely affect our business, financial condition, results of operations, stock price and prospects.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U.S. Foreign Corrupt Practices Act (FCPA) and other anti-corruption laws that apply in countries where we do business. The FCPA and these other anti-corruption laws generally prohibit us and our employees and intermediaries from authorizing, offering, providing, soliciting, or receiving, directly or indirectly, corrupt or improper payments or anything else of value to or from recipients in the public or private sector. We can be held liable for the corrupt or other illegal activities of our personnel or intermediaries, even if we do not explicitly authorize or have prior knowledge of such activities.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applicable import and export control regulations, economic sanctions on countries and persons, anti-money laundering laws, customs requirements and currency exchange regulations, collectively referred to as the trade control laws.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In addition, we cannot predict the nature, scope or effect of future regulatory requirements to which our international operations might be subject or the manner in which existing laws might be administered or interpreted. An investigation of any potential violations of anti-corruption laws or trade control laws by U.S. or other authorities could also have an adverse impact on our reputation, our business, financial condition, results of operations, stock price and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trial participants in connection with clinical trials, sensitive third-party data, and patient information.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subject to or affected by evolving federal, state and foreign data protection laws and regulations, such as laws and regulations that address privacy and data security. In the United States, federal, state, and local governments have enacted numerous data privacy and security laws, including data breach notification laws, personal data privacy laws, and consumer protection laws (e.g. Section 5 of the Federal Trade Commission Act). For example, HIPAA as amended by the Health Information Technology for Economic and Clinical Health Act (HITECH), imposes specific requirements relating to the privacy, security, and transmission of individually identifiable health information. We may obtain health information or other personal information from third parties, including research institutions from which we obtain clinical trial data, that are subject to privacy and security requirements under HIPAA. While we do not believe that we are currently acting as a covered entity or business associate under HIPAA and thus are not directly regulated under HIPAA, any person may be prosecuted under HIPAA’s criminal provisions if it knowingly receives individually identifiable health information from a HIPAA-covered healthcare provider or research institution that has not satisfied HIPAA’s requirements for disclosure of individually identifiable health information under aiding-and-abetting or conspiracy principles.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may maintain about California residents. In addition, it is anticipated that the California Privacy Rights Act of 2020 (CPRA), which became effective January 1, 2023, will expand the CCPA.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the United Kingdom’s GDPR (UK GDPR), and the Swiss Federal Act on Data Protection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or consumer protection organizations authorized at law to represent their interests may initiate litigation related to processing of individuals’ personal data.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Compliance with U.S. and foreign data protection laws and regulations could require us to take on more onerous obligations in our contracts, in addition to direct compliance obligations under those laws. We may be directly or contractually subject to data privacy and security obligations, including industry standards adopted by industry groups and may become subject to new data privacy and security obligations in the future. For example, certain privacy laws, such as the EU GDPR and the CCPA, require companies to impose specific contractual restrictions on their service providers. Moreover, clinical trial subjects about whom we or our potential collaborators obtain information, as well as the providers who share this information with us, may contractually limit our ability to use and disclose the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Europe has significantly restricted the transfer of personal data to the United States and other countries whose privacy laws it believes are inadequate. Other jurisdictions may adopt similarly stringent interpretations of their data localization and cross-border data transfer laws.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Europe to the United States in compliance with law, such as the EU and UK’s standard contractual clauses, these mechanisms are subject to legal challenges, and there is no assurance that we can satisfy or rely on these measures to lawfully transfer personal data to the United States.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Europe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which could limit our ability to conduct clinical trial activities in Europe or elsewhere, and injunctions against our processing or transferring of personal data necessary to operate our business. Some European regulators have prevented companies from transferring personal data out of Europe for allegedly violating the GDPR and EU’s cross-border data transfer limitations.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We may also be bound by contractual obligations related to data privacy and security, and our efforts to comply with such obligations may not be successful. Additionally, 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our personnel or third parties upon whom we rely may fail to comply with such obligations. Such failures can subject us to potential international, local, state and federal action if they are found to be deceptive, unfair, or misrepresentative of our actual practices,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federal, state and local environmental, health and safety laws and regulations, including those governing laboratory procedures, the handling, use, storage, treatment and disposal of hazardous materials and wastes and the cleanup of contaminated sites. Our operations involve the controlled production, storage, use and disposal of hazardous and flammable materials, including chemicals.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as well as our curtailment of the use of these materials or even shutting down our facilities and operations.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including our Chief Executive Officer and President.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and particularly on the services of our personnel including Dr. Thomas C. Chen, our Chief Executive Officer and President. We believe that his drug discovery and development experience and overall biopharmaceutical company management experience, would be difficult to replace. Any of our executive officers could leave our employment at any time, as all of our employees are “at-will” employees. We currently do not have “key person” insurance on any of our employees. The loss of the services of our key personnel and any of our other executive officers, key employees, and scientific and medical advisors, and our inability to find suitable replacements, could result in delays in our research and development objectives and harm our business.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We conduct our operations at our facilities in Southern California, a region that is home to many other biopharmaceutical companies and many academic and research institutions.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stock price and prospects.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employee agreements with our key employees, these agreements provide for at-will employment, which means that any of our employees could leave our employment at any time, with or without notice. We do not maintain “key person” insurance policies on the lives of all of these individuals or the lives of any of our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public company experience.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team has limited public company experience. Our entire management team, as well as other of our personnel, will need to devote substantial time to compliance, and may not effectively or efficiently manage our transition into a public company. If we are unable to effectively comply with the regulations applicable to public companies or if we are unable to produce accurate and timely financial statements, which may result in misstatements that may be material in our financial statements or possible restatement of financial results, our stock price may be materially adversely affected. Any such failures could also result in litigation or regulatory actions by the SEC or other regulatory authorities, loss of investor confidence, delisting of our securities, harm to our reputation and diversion of financial and management resources from the operation of our business, any of which could materially adversely affect our business, financial condition, results of operations, and growth prospects. Additionally, the failure of a key employee to perform in his or her current position could result in our inability to continue to grow our business or to implement our business strategy.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expand the size of our organization, and we may experience difficulties in managing this growth, which could disrupt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76"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comparable foreign regulatory review process for our product candidates, while complying with our contractual obligations to contractors and other third parties;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NEO100, NEO212 and any other product candidates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NEO100and our other product candidates or otherwise advance our business. We cannot assure you that we will be able to manage our existing consultants or find other competent outside contractors and consultants on economically reasonable terms, or at all.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NEO100, NEO212 and our other product candidates and, accordingly, may not achieve our research, development and commercialization goals.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62"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Any of the foregoing may materially harm our business, financial condition, results of operations, stock price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market and economic conditions may have serious adverse consequences on our business, financial condition, results of operations, stock price and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a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such as pandemics, including the ongoing COVID-19 pandemic, or similar future outbreaks could materially and adversely affect our preclinical studies and clinical trials,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and the United States declared a national emergency with respect to COVID-19. In response to the COVID-19 pandemic, a number of governmental orders and other public health guidance measures have been implemented across much of the United States, including in the locations of our office, clinical trial sites and third parties on whom we rely. As the COVID-19 pandemic started to spread in the first half of 2020, our clinical trial sites reported it had the most impact on patient care as facilities were generally ill prepared to conduct business as usual; adequate clinical evaluations, physical exams and tests were either absent or drastically reduced. Our clinical trial sites further reported that their institutions better adjusted to pandemic conditions beginning in the second half of 2020. Additionally, we have experienced disruption to our manufacturing supply chain which has delayed receipt of ordered materials and delayed our manufacturing timeline; while we now have received all ordered materials, we do not have insight into whether, or to what extent, there may be future delays.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further negative impact on our clinical development timelines could materially and adversely affect our business, financial condition and results of operations. Further, we have implemented a work-from-home policy allowing employees who can work from home to do so, while those needing to work in laboratory and manufacturing facilities work in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has been organized to reduce risk of COVID-19 transmission. Our increased reliance on personnel working from home may negatively impact productivity, or disrupt, delay or otherwise adversely impact our business. For example, with our personnel working from home, some of our research activities that require our personnel to be in our laboratories could be delayed.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6" w:name="page87"/>
    <w:bookmarkEnd w:id="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COVID-19 pandemic, or similar pandemics, and related governmental orders and other public health guidance measures, we have and may in the future experience disruptions that could materially and adversely impact our preclinical studies, clinical trials, business, financial condition and results of operations. Potential disruptions might include but are not limited to:</w:t>
      </w:r>
    </w:p>
    <w:p>
      <w:pPr>
        <w:spacing w:after="0" w:line="176"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COVID-19 or other health conditions or being forced to quarantine;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and efficacy, safety and translational data collection, processing and analyses, due to limitations on travel imposed or recommended by federal, state or local governments, employers and others or interruption of clinical trial subject visits, which may impact the collection and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preclinical experiments and studies due to restrictions of on-site staff and unforeseen circumstances at CROs and vendors;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foreign regulatory agencies;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third-party providers due to staffing shortages, production slowdowns or stoppages and disruptions in delivery systems;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the COVID-19 pandemic which may require us to change the ways in which our clinical trials are conducted, which may result in unexpected costs, or to discontinue the clinical trials altogether;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ethics committees and other important agencies and contractors due to limitations in employee resources or forced furlough of government or contractor personnel.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extent to which the ongoing COVID-19 global pandemic may affect our preclinical activities, clinical trials, business, financial condition and results of operations will depend on future developments, which are highly uncertain and cannot be predicted at this time, such as the ultimate geographic spread of the disease, the duration of the outbreak, travel restrictions and actions to contain the outbreak or treat its impact, such as social distancing and quarantines or lock-downs or vaccine rollout in the United States, business closures or business disruptions and the effectiveness of actions taken in the United States to contain and treat the disease. Future developments in these and other areas present material uncertainty and risk with respect to our clinical trials, business, financial condition and results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process, collect, store, and transmit proprietary, confidential, and sensitive data, including de-identified personal data (such as health-related data), intellectual property, proprietary business information and trade secrets (collectively, sensitive information). We may rely upon third-party service providers and technologies to operate critical business systems to process sensitive information in a variety of contexts, including, without limitation, third-party providers of information technology infrastructure,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“hacktivists,”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disruption of clinical trials, loss of data (including data related to clinical trials),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products. For example, the loss of clinical trial data from completed or ongoing or planned clinical trials could result in delays in our regulatory approval efforts and significantly increase our costs to recover or reproduce the data.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established physical, electronic and organizational security measures to safeguard and secure our systems against security incidents, and rely on commercially-available systems, software, tools, and monitoring to provide security for our information technology systems and the processing, transmission and storage of digital information,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developing and deploying remedial measures designed to address any such identified vulnerabilities.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94"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our products and/or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stock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 including withdrawal of marketing approval.</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clinical trials and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contract manufacturing organizations (CMOs), or contract research organizations (CROs) may engage in misconduct or other improper activities, including noncompliance with regulatory standards and requirements and insider trading, which could have a material adverse effect on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or principal investigators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FCA case against us even if the government considers the claim unmeritorious and/or declines to intervene, which could require us to incur costs defending against such a claim.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civil, criminal and administrative penalties, damages, monetary fines, disgorgement, possible exclusion from participation in U.S. federal healthcare programs, integrity oversight and reporting obligations to resolve allegations of non-compliance, imprisonment, contractual damages, reputational harm, diminished profits and future earnings, and curtailment of our operations.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generated significant net operating loss (NOL) carryforwards and research and development tax credits, and our ability to utilize our net operating loss carryforwards and research and development tax credits to reduce future tax payments may be limited or restricted.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generated significant NOL carryforwards and research and development tax credits (R&amp;D credits) due to our incurrence of losses and our conduct of research activities since inception. As of December 31, 2024 we had federal NOL carryforwards of approximately $30,000,000. We do not anticipate generating revenue from sales of products for the foreseeable future, if ever, and we may never achieve profitability. Our U.S. federal NOL carryforwards developed in taxable years beginning before January 1, 2018, can be carried forward to each of the 20 taxable years following the year of the loss. These NOL carryforwards could expire unused and be unavailable to offset future income tax liabilities. Under current law, U.S. federal NOLs incurred in tax years beginning after December 31, 2017, totaling approximately $22,800,000, may be carried forward indefinitely, but the utilization of U.S. federal NOLs generated in tax years beginning after December 31, 2020, is limited. Our U.S. federal R&amp;D credit carryforwards can be carried forward for 20 taxable years. If not utilized in that period, these R&amp;D credit carryforwards could expire unused and be unavailable to offset future income tax liabilities. Under current law, the California state R&amp;D credits carry forward indefinitely until utilized. These R&amp;D credit carryforwards could expire unused and be unavailable to offset future income tax liabilities.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Code, and corresponding provisions of state law, if a corporation undergoes an “ownership change,” the corporation’s ability to use its pre-change NOL carryforwards and R&amp;D credits to offset its post-change income and taxes, respectively, may be limited. For purposes of these rules, an “ownership change” generally occurs if one or more shareholders or groups of shareholders who own at least 5% of our stock increase their ownership by more than 50 percentage points over their lowest ownership percentage within a rolling three-year period. The application of these rules could limit the amount of NOLs or R&amp;D credit carryforwards that we can utilize annually to offset future taxable income or tax liabilities. In addition, at the state level, there may be periods during which the use of NOLs is suspended or otherwise limited, which could accelerate or permanently increase state taxes owed. Although the Company has not undertaken a formal analysis, an ownership change may have occurred prior to December 31, 2023, which would reduce the NOL available for use in future periods.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NOL and R&amp;D credit carryforwards are subject to review and possible adjustment by U.S. and state tax authorities.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may not develop or continue to be liquid and the market price of shares of our common stock may be volatile.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listing of our common stock on Nasdaq, there was no public market for any of our securities, and an active market for our common stock may not develop or be sustained after our recent listing, which could depress the market price of shares of our common stock and could affect the ability of our stockholders to sell our common stock. In the absence of an active public trading market, investors may not be able to liquidate their investments in our common stock. An inactive market may also impair our ability to raise capital by selling shares of our common stock, our ability to motivate our employees through equity incentive awards and our ability to acquire other companies, products or technologies by using shares of our common stock as consideration.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public price of our common stock could be subject to wide fluctuations in response to the risk factors described in this prospectus and others beyond our control, including:</w:t>
      </w:r>
    </w:p>
    <w:p>
      <w:pPr>
        <w:spacing w:after="0" w:line="162"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foreign currency fluctuations, international tariffs, social, political and economic risks and acts of war or terrorism.</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securities exchanges have experienced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common stock shortly following the listing of our common stock on Nasdaq as a result of the supply and demand forces described above.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Tariff policies and potential countermeasures could disrupt our supply chain, which could negatively impact the results of our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President Trump has increased, and has indicated his willingness to continue to increase, the use of tariffs by the United States to accomplish certain United States policy goals. Such tariffs and any countermeasures could increase the cost of raw materials and components necessary for our products and create additional operational challenges. Further, it is possible that government policy changes and related uncertainty about policy changes could increase market volatility. Because of these dynamics, we cannot predict the impact of any future changes to the United States’ or other countries’ trading relationships or the impact of new laws or regulations adopted by the United States or other countries on our business. Such changes in tariffs and trade regulations could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common stock by our stockholders could cause our share price to decline.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listing our common stock on Nasdaq, there was no public market for our common stock and there has not been a sustained history of trading in our common stock in “over-the-counter” markets. In the case of a lack of supply of our common stock, the trading price of our common stock may rise to an unsustainable level. Further, institutional investors may be discouraged from purchasing our common stock if they are unable to purchase a block of our common stock in the open market due to a potential unwillingness of our existing stockholders to sell a sufficient amount of common stock at the price offered by such institutional investors and the greater influence individual investors have in setting the trading price. If institutional investors are unable to purchase our common stock, the market for our common stock may be more volatile without the influence of long-term institutional investors holding significant amounts of our common stock. In the case of a lack of market demand for our common stock, the trading price of our common stock could decline significantly and rapidly after our listing. Therefore, an active, liquid and orderly trading market for our common stock may not initially develop or be sustained, which could significantly depress the public price of our common stock and/or result in significant volatility.</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shareholders may be diluted by future issuances of preferred stock or additional common stock in connection with our incentive plans, acquisitions or otherwise; future sales of such shares in the public market, or the expectations that such sales may occur, could lower our stock price.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shares of common stock and options, rights, warrants and appreciation rights relating to our common stock for the consideration and on the terms and conditions established by our board of directors in its sole discretion. We could issue a significant number of shares of common stock in the future in connection with investments or acquisitions. Any of these issuances could dilute our existing stockholders, and such dilution could be significant. Moreover, such dilution could have a material adverse effect on the market price for the shares of our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future issuance of shares of preferred stock with voting rights may adversely affect the voting power of the holders of shares of our common stock, either by diluting the voting power of our common stock if the preferred stock votes together with the common stock as a single class, or by giving the holders of any such preferred stock the right to block an action on which they have a separate class vote, even if the action were approved by the holders of our shares of our common stock.</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commercialization and growth of our business, and therefore we do not anticipate declaring or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Our future ability to pay cash dividends on our common stock may also be limited by the terms of any future debt securities or credit facility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As a result, capital appreciation, if any, of the common stock you purchase of the Company will be your sole source of gain for the foreseeable future.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and relief from various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this prospectus and our periodic reports and proxy statements and (iv) exemptions from the requirements of holding a nonbinding advisory vote on executive compensation and shareholder approval of any golden parachute payments not previously approved. 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2028,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was $700.0 million or more as of the last business day of the second fiscal quarter of such year or (iv) the date on which we have issued more than $1.0 billion in non-convertible debt securities during the prior three-year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is possible that some investors will find our common stock less attractive as a result of the foregoing, which may result in a less active trading market for our common stock and higher volatility in our stock price.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principal stockholders own a significant percentage of our stock and will be able to exert significant control over matters subject to stockholder approval.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our executive officers, directors and five percent or greater stockholders and their respective affiliates, beneficially own, in the aggregate, approximately 60.64% of our outstanding common stock. To the extent that the same group continue to own a significant percentage of our common stock, these stockholders, if they act together, will be able to control the management and affairs of our company and most matters requiring stockholder approval, including the election of directors, amendments of our organizational documents and approval of any merger, sale of substantially all our assets or other significant corporate transactions. This concentration of ownership may prevent or discourage unsolicited acquisition proposals or offers for our common stock that you or other stockholders may feel are in your or their best interest as one of our stockholders.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amended and restated certificate of incorporation and amended and restated bylaws, in each case, may delay or prevent a take-over that may not be in the best interests of our stockholders.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in each case, may be deemed to have anti-takeover effects, which include, among others, (a classified board of directors serving staggered three-year terms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authorizes the issuance of shares of preferred stock which will have such rights and preferences determined from time to time by our board of directors. Pursuant to the amended and restated certificate of incorporation, our board of directors may, without stockholder approval (except as may be required under Nasdaq rules), issue additional preferred shares with dividends, liquidation, conversion, voting or other rights that could adversely affect the voting power or other rights of the holders of our common stock.</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in each case,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 each case, provide that, unless we consent in writing to the selection of an alternative forum, (i) the Court of Chancery of the State of Delaware (or, if the Court of Chancery does not have jurisdiction, the federal district court for the District of Delaware) shall, to the fullest extent permitted by law, be the sole and exclusive forum for (a) any derivative action or proceeding brought on our behalf, (b) any action asserting a claim of breach of a fiduciary duty owed by any of our directors, officers or other employees to us or our stockholders, (c) any action arising pursuant to any provision of the General Corporation Law of the State of Delaware, or the DGCL, our certificate of incorporation or our bylaws or (d) any action asserting a claim governed by the internal affairs doctrine and (ii)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Pursuant to our amended and restated certificate of incorporation, any person or entity purchasing or otherwise acquiring or holding any interest in shares of our common stock will be deemed to have had notice of and consented to the forum selection clause in our planned amended and restated certificate of incorporation described in this paragraph.</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provision would not preclude stockholders that assert claims under the Exchange Act from bringing such claims in federal court, to the extent that the Exchange Act confers exclusive federal jurisdiction over such claims, subject to applicable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choice of forum provision may benefit us by providing increased consistency in the application of Delaware law by chancellors and judges particularly experienced in resolving corporate disputes, efficient administration of cases on a more expedited schedule relative to other forums and protection against the burdens of multi-forum litigation. However, our choice of forum provision may impose additional litigation costs on stockholders in pursuing claims and may limit a stockholder’s ability to bring a claim in a judicial forum that it believes to be favorable for disputes with us or any of our directors, officers or other employees, which may discourage lawsuits with respect to such claims. In addition, while the Delaware courts have determined that such choice of forum provisions are facially valid, a stockholder may nevertheless seek to bring a claim in a venue other than those designated in the choice of forum provision, and there can be no assurance that such provision will be enforced by a court in those other jurisdictions. If a court were to find the choice of forum provision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disputes with former licensees of our technology, which could result in direct and indirect costs to us in defending and responding to such proceedings and could result in operational disruptions that could harm our reputation, brand and result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 2022, NeOnc Technologies, Inc. and Fox Infused, LLC, a Delaware limited liability company (“Fox Infused”), entered into an Intellectual Property License and Supply Agreement effective July 1, 2022 (the “Agreement”) whereby NeOnc agreed to supply certain products to Fox Infused and license certain of our patents. We terminated the Agreement with Fox Infused on April 25, 2023. On June 6, 2023, Fox Infused filed a complaint against NeOnc in the Central District of California alleging that the termination was improper (Civil Action No. 2:23-04431). Fox Infused also filed an ex parte application for a temporary restraining order and an order to show cause on a preliminary injunction against us seeking to have the court stop the termination of the contract. Fox Infused’s temporary restraining order application was denied and the case dismissed without prejudice. Fox Infused refiled the case in arbitration before the American Arbitration Association (Case No. 01-23-0002-5020). The parties engaged in settlement discussions, and agreed to settle the dispute for a $600,000 payment by us to Fox Infused within 5 business days of the closing date of the Company’s initial public offering or March 31, 2024. The Company is currently in default under the terms of such settlement agreement. The Company intends to satisfy this obligation in 2025 from sales of its securities or draws off of its line of credit. Prior to such payment, there is a risk that Fox Infused could institute default proceedings against us which could result in direct and indirect costs to us in defending and responding to such proceedings and could result in operational disruptions that could harm our reputation, brand and results of operations, any of which may affect our ability to raise additional proceeds from the sale of our securities.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14, 2023, the Company terminated its collaboration agreement with Orient EuroPharma Co., Ltd. (“OEP”). OEP retained counsel, who informed the Company that it believed that the collaboration agreement was improperly terminated by the Company and intended to take legal action in connection therewith. The parties engaged in a mediation on August 29, 2023. The Company withdrew its termination notice on October 31, 2023. The Company believed this would resolve the matter. However, on February 5, 2024, OEP initiated an arbitration claiming that the Company’s termination notice was invalid, the collaboration agreement remained binding and the Company breached representations in that agreement. The Company was prepared to defend the claims and assert counterclaims. Instead, the Company and OEP negotiated a settlement that resulted in the termination of the collaboration agreement and all of OEP’s license rights and resolved all disputes between the parties. Pursuant to the settlement agreement, the Company agreed to pay OEP $4.0 million within ten days of the closing date of the Company’s initial public offering. As the Company believes its direct listing was not an initial public offering, the Company does not intend to make payment to OEP. OEP recently informed the Company that it believes we are currently obligated to pay such amount; while we do not agree with this assertion, there is a risk that OEP could institute additional proceedings against us which could result in direct and indirect costs to us in defending and responding to such proceedings and could result in operational disruptions that could harm our reputation, brand and result of operations, any of which may affect our ability to raise additional proceeds from the sale of our securities.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maintain internal controls over financial reporting. Commencing with our fiscal year ending in 2025,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direct listing, we were never required to test our internal controls within a specified period and, as a result, we may experience difficulty in meeting these reporting requirements in a timely manner.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Nasdaq or other regulatory authorities.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may identify additional material weaknesses in the future. Our disclosure controls and procedures may not prevent or detect all errors or acts of fraud. If we fail to establish and maintain effective internal controls over financial reporting, our operating results and our ability to operate our business could be harmed.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audit of NeOnc Technologies, Inc. for the years ended December 31, 2024 and 2023, our company and its independent registered public accounting firm identified material weaknesses in its internal control over financial reporting.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material weaknesses that NeOnc Technologies, Inc. and its independent registered public accounting firm identified in NeOnc Technologies, Inc.’s financial statements for the years ended December 31, 2024 and 2023 occurred because our company was a private company that had not previously been audited and had maintained a complement of resources with various levels of accounting knowledge, experience, and expertise that are not commensurate with our prospective financial reporting needs. These material weaknesses relate to the fact that we do not maintain a comprehensive policies and procedures manual designed to establish internal controls over financial reporting to reduce the risk of publishing materially misstated financial statements, as well as defined responsibilities and segregated incompatible duties to reduce the risk of unauthorized transactions. Collectively, this could result in difficulties in meeting our internal reporting needs and our external reporting requirements and assessing the appropriate accounting treatment for various events and/or transactions.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with respect to the three months ended March 31, 2025, management concluded that our internal control over financial reporting was not effective as of March 31, 2025, due to the material weakness in our internal control over duties separation, company-wide risk and communication processes, major financial transactions, related party dealings, and IT user access management.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initiated various remediation efforts, including the hiring of additional financial personnel/consultants with the appropriate public company and technical accounting expertise. We cannot reasonably estimate the cost of such remediation plan at this time. We can give no assurance that such efforts will remediate these material weaknesses internal control over financial reporting or that additional material weaknesses in its internal control over financial reporting will not be identified in the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will operate in an increasingly demanding regulatory environment, which requires us to comply with the Sarbanes-Oxley Act, the regulations of the Nasdaq Capital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in 2025,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Prior to the direct listing, we have never been required to test our internal controls within a specified period and, as a result, we may experience difficulty in meeting these reporting requirements in a timely manner.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the process of building our accounting and financial functions and infrastructure will require significant additional professional fees, internal costs and management efforts. For example, we expect that we will need to implement new systems to enhance and streamline the management of our financial, accounting, human resources and other functions.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8" w:name="page99"/>
    <w:bookmarkEnd w:id="9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such systems will likely require us to complete many processes and procedures for the effective use of the systems, which may result in substantial costs. Any disruptions or difficulties in implementing or using these systems could adversely affect our controls and harm our business. Moreover, such disruption or difficulties could result in unanticipated costs and diversion of management attention. In addition,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implement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issued the following unregistered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2025, 50,000 restricted stock units were granted to each of Dr. Steven L. Giannotta, Jim Delshad and Dr. Ming-Fu Chiang. The forgoing restricted stock units vest one hundred percent (100%) seven months following March 25,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2025, we issued 625,000 shares of common stock to various unaffiliated third parties in a private placement at a price of $16.00 per share for gross proceeds of approximately $10,000,000.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2025, we issued to Dawson James Securities, Inc. 30,000 shares of common stock upon the time of our direct listing.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2025, we issued 102,750 shares of common stock to various unaffiliated third parties in a private placement at a price of $16.00 per share for gross proceeds of approximately $1,644,000.</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D1C1D"/>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1D1C1D"/>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16"/>
            <w:shd w:val="clear" w:color="auto" w:fill="CCEEFF"/>
          </w:tcPr>
          <w:p>
            <w:pPr>
              <w:spacing w:after="0" w:line="169"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Amended and Restated Certificate of Incorporation (incorporated by reference to Exhibit 3.1 filed on Form 8-K filed by the Registrant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March 27,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Amended and Restated Bylaws (incorporated by reference to Exhibit 3.2 filed on Form 8-K filed by the Registrant on March 27,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Common Stock Certificate (incorporated by reference to Exhibit 4.1 filed with the Registration Statement on Form S-1 filed by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Registrant on January 3, 2025)</w:t>
              </w:r>
            </w:hyperlink>
          </w:p>
        </w:tc>
        <w:tc>
          <w:tcPr>
            <w:tcW w:w="7880" w:type="dxa"/>
            <w:vAlign w:val="bottom"/>
            <w:tcBorders>
              <w:bottom w:val="single" w:sz="8" w:color="CCEEFF"/>
            </w:tcBorders>
            <w:gridSpan w:val="1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Fourth Amended &amp; Restated Promissory Note, dated December 4, 2023, by NeOnc Technologies Holdings, Inc. and Holders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by reference to Exhibit 4.2 filed with the Registration Statement on Form S-1 filed by the Registrant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Promissory Note, dated October 11, 2024, by NeOnc Technologies Holdings, Inc. and HCWG LLC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filed with the Registration Statement on Form S-1 filed by the Registrant on January 3, 2025)</w:t>
              </w:r>
            </w:hyperlink>
          </w:p>
        </w:tc>
        <w:tc>
          <w:tcPr>
            <w:tcW w:w="310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Common Stock Purchase Warrant, dated October 11, 2024, by NeOnc Technologies Holdings, Inc. and HCWG LLC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reference to Exhibit 4.4 filed with the Registration Statement on Form S-1 filed by the Registrant on January 3,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Promissory Note, dated February 25, 2025, by NeOnc Technologies Holdings, Inc. and Amir Heshmatpour (incorporated by reference to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76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Exhibit 4.5 filed with the Registration Statement on Form S-1 filed by the Registrant on February 26, 2025)</w:t>
              </w:r>
            </w:hyperlink>
          </w:p>
        </w:tc>
        <w:tc>
          <w:tcPr>
            <w:tcW w:w="2340" w:type="dxa"/>
            <w:vAlign w:val="bottom"/>
            <w:tcBorders>
              <w:bottom w:val="single" w:sz="8" w:color="CCEEFF"/>
            </w:tcBorders>
            <w:gridSpan w:val="6"/>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NeOnc Technologies Holdings, Inc. 2023 Equity Incentive Plan (incorporated by reference to Exhibit 99.1 filed with the Form S-8 filed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the Registrant on March 25,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First Amendment to the NeOnc Technologies Holdings, Inc. 2023 Equity Incentive Plan (incorporated by reference to Exhibit 99.2 filed</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4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with the Form S-8 filed by the Registrant on March 25, 2025)</w:t>
              </w:r>
            </w:hyperlink>
          </w:p>
        </w:tc>
        <w:tc>
          <w:tcPr>
            <w:tcW w:w="566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Stock Option Agreement (incorporated by reference to Exhibit 10.3 filed with the Registration Statement on Form S-1 filed by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Registrant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Option Exercise Agreement (incorporated by reference to Exhibit 10.4 filed with the Registration Statement on Form S-1 filed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the Registrant on January 3,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Option Exercise Agreement (incorporated by reference to Exhibit 10.5 filed with the Registration Statement on Form S-1 filed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Registrant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Restricted Stock Agreement (incorporated by reference to Exhibit 10.6 filed with the Registration Statement on Form S-1 filed by</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the Registrant on January 3,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Restricted Share Unit Agreement (incorporated by reference to Exhibit 10.7 filed with the Registration Statement on Form S-1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filed by the Registrant on January 3,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Indemnity Agreement between NeOnc Technologies Holdings, Inc. and each of its directors and executive officers (incorporated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by reference to Exhibit 10.8 filed with the Registration Statement on Form S-1 filed by the Registrant on January 3,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Direct Listing Engagement Letter dated January 23, 2025, between NeOnc Technologies Holdings, Inc., RBW Capital Partners LLC,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Dawson James Securities, Inc. (incorporated by reference to Exhibit 10.40 filed with the Registration Statement on Form S-1 filed by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Registrant on January 31, 2025)</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Private Placement Engagement Letter dated January 29, 2025, between NeOnc Technologies Holdings, Inc., RBW Capital Partners LLC,</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and Dawson James Securities, Inc. (incorporated by reference to Exhibit 10.41 filed with the Registration Statement on Form S-1 filed by</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the Registrant on January 31, 2025)</w:t>
              </w:r>
            </w:hyperlink>
          </w:p>
        </w:tc>
        <w:tc>
          <w:tcPr>
            <w:tcW w:w="752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Restricted  Stock  Award  Agreement  dated  February  7,  2025,  between  NeOnc  Technologies  Holdings,  Inc.  and  Dr.  Ming-Fu</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Chiang (incorporated by reference to Exhibit 10.48 filed with the Registration Statement on Form S-1 filed by the Registrant on February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26, 2025)</w:t>
              </w:r>
            </w:hyperlink>
          </w:p>
        </w:tc>
        <w:tc>
          <w:tcPr>
            <w:tcW w:w="5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608"/>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98</w:t>
            </w: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right w:val="single" w:sz="8" w:color="CCEEFF"/>
            </w:tcBorders>
            <w:gridSpan w:val="10"/>
            <w:shd w:val="clear" w:color="auto" w:fill="CCEEFF"/>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Restricted  Stock  Award  Agreement  dated  February  7,  2025,  between  NeOnc  Technologies  Holdings,  Inc.  and  Dr.  Steven  L.</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26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Giannotta (incorporated by reference to Exhibit 10.49 filed with the Registration Statement on Form S-1 filed by the Registrant on February</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26, 2025)</w:t>
              </w:r>
            </w:hyperlink>
          </w:p>
        </w:tc>
        <w:tc>
          <w:tcPr>
            <w:tcW w:w="1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right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gridSpan w:val="10"/>
          </w:tcPr>
          <w:p>
            <w:pPr>
              <w:spacing w:after="0" w:line="17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Restricted Stock Award Agreement dated February 7, 2025, between NeOnc Technologies Holdings, Inc. and Jim Delshad (incorporated by</w:t>
              </w:r>
            </w:hyperlink>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reference to Exhibit 10.50 filed with the Registration Statement on Form S-1 filed by the Registrant on February 26, 2025)</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Amendment to Amended and Restated Restricted Stock Award Agreement dated February 7, 2025, between NeOnc Technologies Holdings,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Inc. and Amir Heshmatpour (incorporated by reference to Exhibit 10.51 filed with the Registration Statement on Form S-1 filed by the</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0000EE"/>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Registrant on February 26, 2025)</w:t>
              </w:r>
            </w:hyperlink>
          </w:p>
        </w:tc>
        <w:tc>
          <w:tcPr>
            <w:tcW w:w="7700" w:type="dxa"/>
            <w:vAlign w:val="bottom"/>
            <w:tcBorders>
              <w:top w:val="single" w:sz="8" w:color="0000EE"/>
              <w:bottom w:val="single" w:sz="8" w:color="CCEEFF"/>
              <w:right w:val="single" w:sz="8" w:color="CCEEFF"/>
            </w:tcBorders>
            <w:gridSpan w:val="7"/>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Amendment to Amended and Restated Restricted Stock Award Agreement dated February 7, 2025, between NeOnc Technologies Holdings,</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Inc. and Dr. Thomas Chen (incorporated by reference to Exhibit 10.52 filed with the Registration Statement on Form S-1 filed by the</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Registrant on February 26, 2025)</w:t>
              </w:r>
            </w:hyperlink>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Amendment to Amended and Restated Restricted Stock Award Agreement dated February 7, 2025, between NeOnc Technologies Holdings,</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Inc. and Bader Almonawer (incorporated by reference to Exhibit 10.53 filed with the Registration Statement on Form S-1 filed by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Registrant on February 26, 2025)</w:t>
              </w:r>
            </w:hyperlink>
          </w:p>
        </w:tc>
        <w:tc>
          <w:tcPr>
            <w:tcW w:w="7700" w:type="dxa"/>
            <w:vAlign w:val="bottom"/>
            <w:tcBorders>
              <w:bottom w:val="single" w:sz="8" w:color="CCEEFF"/>
              <w:right w:val="single" w:sz="8" w:color="CCEEFF"/>
            </w:tcBorders>
            <w:gridSpan w:val="7"/>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Amendment to Amended and Restated Restricted Stock Award Agreement dated February 7, 2025, between NeOnc Technologies Holdings,</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Inc. and Patrick Walters (incorporated by reference to Exhibit 10.54 filed with the Registration Statement on Form S-1 filed by the</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Registrant on February 26, 2025)</w:t>
              </w:r>
            </w:hyperlink>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Amendment to Amended and Restated Restricted Stock Award Agreement dated February 7, 2025, between NeOnc Technologies Holdings,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 and Keithly Garnett (incorporated by reference to Exhibit 10.55 filed with the Registration Statement on Form S-1 filed by the</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0000EE"/>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Registrant on February 26, 2025)</w:t>
              </w:r>
            </w:hyperlink>
          </w:p>
        </w:tc>
        <w:tc>
          <w:tcPr>
            <w:tcW w:w="7700" w:type="dxa"/>
            <w:vAlign w:val="bottom"/>
            <w:tcBorders>
              <w:top w:val="single" w:sz="8" w:color="0000EE"/>
              <w:bottom w:val="single" w:sz="8" w:color="CCEEFF"/>
              <w:right w:val="single" w:sz="8" w:color="CCEEFF"/>
            </w:tcBorders>
            <w:gridSpan w:val="7"/>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Amendment to Second Amended and Restated Restricted Stock Award Agreement dated February 7, 2025, between NeOnc Technologies</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Holdings, Inc. and Victoria Medvec (incorporated by reference to Exhibit 10.56 filed with the Registration Statement on Form S-1 filed by</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the Registrant on February 26, 2025)</w:t>
              </w:r>
            </w:hyperlink>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Securities Purchase Agreement (incorporated by reference to Exhibit 10.1 filed with the Form 8-K filed by the Registrant on April</w:t>
              </w:r>
            </w:hyperlink>
          </w:p>
        </w:tc>
      </w:tr>
      <w:tr>
        <w:trPr>
          <w:trHeight w:val="196"/>
        </w:trPr>
        <w:tc>
          <w:tcPr>
            <w:tcW w:w="1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1, 2025)</w:t>
              </w:r>
            </w:hyperlink>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gridSpan w:val="10"/>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Office Lease, dated April 7, 2025, by and between the Company and RREF II Calabasas Park Center LLC (incorporated by reference to</w:t>
              </w:r>
            </w:hyperlink>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Exhibit 10.1 filed with the Form 8-K filed by the Registrant on April 11, 2025)</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right w:val="single" w:sz="8" w:color="CCEE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62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w:t>
            </w:r>
          </w:p>
        </w:tc>
        <w:tc>
          <w:tcPr>
            <w:tcW w:w="3860" w:type="dxa"/>
            <w:vAlign w:val="bottom"/>
            <w:tcBorders>
              <w:top w:val="single" w:sz="8" w:color="CCEEFF"/>
            </w:tcBorders>
            <w:gridSpan w:val="2"/>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57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w:t>
            </w:r>
          </w:p>
        </w:tc>
        <w:tc>
          <w:tcPr>
            <w:tcW w:w="4360" w:type="dxa"/>
            <w:vAlign w:val="bottom"/>
            <w:tcBorders>
              <w:bottom w:val="single" w:sz="8" w:color="CCEEFF"/>
              <w:right w:val="single" w:sz="8" w:color="CCEEFF"/>
            </w:tcBorders>
            <w:gridSpan w:val="4"/>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9"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Quarterly Report on Form 10-Q to be signed on its behalf by the undersigned, thereunto duly authorized, in Los Angeles, California, on May 9, 2025.</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Dr. Thomas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 Thomas Chen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(Principal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Keithly Garnett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Keithly Garnett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(Principal Financial and Accounting Officer)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Thomas Chen certify that:</w:t>
      </w:r>
    </w:p>
    <w:p>
      <w:pPr>
        <w:spacing w:after="0" w:line="225"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NeOnc Technologies Holdings, Inc;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spacing w:after="0" w:line="266" w:lineRule="auto"/>
        <w:tabs>
          <w:tab w:leader="none" w:pos="127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spacing w:after="0" w:line="266" w:lineRule="auto"/>
        <w:tabs>
          <w:tab w:leader="none" w:pos="12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spacing w:after="0" w:line="282" w:lineRule="auto"/>
        <w:tabs>
          <w:tab w:leader="none" w:pos="124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spacing w:after="0" w:line="266" w:lineRule="auto"/>
        <w:tabs>
          <w:tab w:leader="none" w:pos="12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spacing w:after="0" w:line="282" w:lineRule="auto"/>
        <w:tabs>
          <w:tab w:leader="none" w:pos="124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spacing w:after="0" w:line="282" w:lineRule="auto"/>
        <w:tabs>
          <w:tab w:leader="none" w:pos="123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Thomas Chen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Dr. Thomas Chen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87"/>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Steinberg, certify that:</w:t>
      </w:r>
    </w:p>
    <w:p>
      <w:pPr>
        <w:spacing w:after="0" w:line="225"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NeOnc Technologies Holdings, Inc;</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spacing w:after="0" w:line="266" w:lineRule="auto"/>
        <w:tabs>
          <w:tab w:leader="none" w:pos="127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spacing w:after="0" w:line="266" w:lineRule="auto"/>
        <w:tabs>
          <w:tab w:leader="none" w:pos="124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spacing w:after="0" w:line="282" w:lineRule="auto"/>
        <w:tabs>
          <w:tab w:leader="none" w:pos="12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spacing w:after="0" w:line="266" w:lineRule="auto"/>
        <w:tabs>
          <w:tab w:leader="none" w:pos="124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spacing w:after="0" w:line="282" w:lineRule="auto"/>
        <w:tabs>
          <w:tab w:leader="none" w:pos="124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spacing w:after="0" w:line="282" w:lineRule="auto"/>
        <w:tabs>
          <w:tab w:leader="none" w:pos="123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Keithly Garnett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Keithly Garnett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87"/>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Thomas Chen, Chief Executive Officer of NeOnc Technologies Holdings, Inc., certify that:</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NeOnc Technologies Holdings, Inc. for the period ended March 31, 2025 fully complies with the requirements of Section 13(a) or 15(d) of the Securities Exchange Act of 1934; and</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NeOnc Technologies Holdings, Inc.</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Dr Thomas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 Thomas Chen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9, 2025</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Keithly Garnett, Chief Financial Officer of NeOnc Technologies Holdings, Inc., certify that:</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NeOnc Technologies Holdings, Inc. for the period ended March 31, 2025 fully complies with the requirements of Section 13(a) or 15(d) of the Securities Exchange Act of 1934; and</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NeOnc Technologies Holdings, Inc.</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Keithly Garnett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Keithly Garnett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9, 2025</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NeOnc Technologies Holdings, Inc. and will be retained by NeOnc Technologies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lvl w:ilvl="1">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90"/>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28" Type="http://schemas.openxmlformats.org/officeDocument/2006/relationships/hyperlink" Target="https://www.sec.gov/Archives/edgar/data/1979414/000182912625002097/neonctechnologies_ex3-1.htm" TargetMode="External"/><Relationship Id="rId129" Type="http://schemas.openxmlformats.org/officeDocument/2006/relationships/hyperlink" Target="https://www.sec.gov/Archives/edgar/data/1979414/000182912625002097/neonctechnologies_ex3-2.htm" TargetMode="External"/><Relationship Id="rId130" Type="http://schemas.openxmlformats.org/officeDocument/2006/relationships/hyperlink" Target="https://www.sec.gov/Archives/edgar/data/1979414/000182912625000013/neonctechnologies_ex4-1.htm" TargetMode="External"/><Relationship Id="rId131" Type="http://schemas.openxmlformats.org/officeDocument/2006/relationships/hyperlink" Target="https://www.sec.gov/Archives/edgar/data/1979414/000182912625000013/neonctechnologies_ex4-2.htm" TargetMode="External"/><Relationship Id="rId132" Type="http://schemas.openxmlformats.org/officeDocument/2006/relationships/hyperlink" Target="https://www.sec.gov/Archives/edgar/data/1979414/000182912625000013/neonctechnologies_ex4-3.htm" TargetMode="External"/><Relationship Id="rId133" Type="http://schemas.openxmlformats.org/officeDocument/2006/relationships/hyperlink" Target="https://www.sec.gov/Archives/edgar/data/1979414/000182912625000013/neonctechnologies_ex4-4.htm" TargetMode="External"/><Relationship Id="rId134" Type="http://schemas.openxmlformats.org/officeDocument/2006/relationships/hyperlink" Target="https://www.sec.gov/Archives/edgar/data/1979414/000182912625001228/neonctechnologies_ex4-5.htm" TargetMode="External"/><Relationship Id="rId135" Type="http://schemas.openxmlformats.org/officeDocument/2006/relationships/hyperlink" Target="https://www.sec.gov/Archives/edgar/data/1979414/000182912625002060/neonctechnologies_ex99-1.htm" TargetMode="External"/><Relationship Id="rId136" Type="http://schemas.openxmlformats.org/officeDocument/2006/relationships/hyperlink" Target="https://www.sec.gov/Archives/edgar/data/1979414/000182912625002060/neonctechnologies_ex99-2.htm" TargetMode="External"/><Relationship Id="rId137" Type="http://schemas.openxmlformats.org/officeDocument/2006/relationships/hyperlink" Target="https://www.sec.gov/Archives/edgar/data/1979414/000182912625000013/neonctechnologies_ex10-3.htm" TargetMode="External"/><Relationship Id="rId138" Type="http://schemas.openxmlformats.org/officeDocument/2006/relationships/hyperlink" Target="https://www.sec.gov/Archives/edgar/data/1979414/000182912625000013/neonctechnologies_ex10-4.htm" TargetMode="External"/><Relationship Id="rId139" Type="http://schemas.openxmlformats.org/officeDocument/2006/relationships/hyperlink" Target="https://www.sec.gov/Archives/edgar/data/1979414/000182912625000013/neonctechnologies_ex10-5.htm" TargetMode="External"/><Relationship Id="rId140" Type="http://schemas.openxmlformats.org/officeDocument/2006/relationships/hyperlink" Target="https://www.sec.gov/Archives/edgar/data/1979414/000182912625000013/neonctechnologies_ex10-6.htm" TargetMode="External"/><Relationship Id="rId141" Type="http://schemas.openxmlformats.org/officeDocument/2006/relationships/hyperlink" Target="https://www.sec.gov/Archives/edgar/data/1979414/000182912625000013/neonctechnologies_ex10-7.htm" TargetMode="External"/><Relationship Id="rId142" Type="http://schemas.openxmlformats.org/officeDocument/2006/relationships/hyperlink" Target="https://www.sec.gov/Archives/edgar/data/1979414/000182912625000013/neonctechnologies_ex10-8.htm" TargetMode="External"/><Relationship Id="rId143" Type="http://schemas.openxmlformats.org/officeDocument/2006/relationships/hyperlink" Target="https://www.sec.gov/Archives/edgar/data/1979414/000182912625000575/neonctechnologies_ex10-40.htm" TargetMode="External"/><Relationship Id="rId144" Type="http://schemas.openxmlformats.org/officeDocument/2006/relationships/hyperlink" Target="https://www.sec.gov/Archives/edgar/data/1979414/000182912625000575/neonctechnologies_ex10-41.htm" TargetMode="External"/><Relationship Id="rId145" Type="http://schemas.openxmlformats.org/officeDocument/2006/relationships/hyperlink" Target="https://www.sec.gov/Archives/edgar/data/1979414/000182912625001228/neonctechnologies_ex10-48.htm" TargetMode="External"/><Relationship Id="rId146" Type="http://schemas.openxmlformats.org/officeDocument/2006/relationships/hyperlink" Target="https://www.sec.gov/Archives/edgar/data/1979414/000182912625001228/neonctechnologies_ex10-49.htm" TargetMode="External"/><Relationship Id="rId147" Type="http://schemas.openxmlformats.org/officeDocument/2006/relationships/hyperlink" Target="https://www.sec.gov/Archives/edgar/data/1979414/000182912625001228/neonctechnologies_ex10-50.htm" TargetMode="External"/><Relationship Id="rId148" Type="http://schemas.openxmlformats.org/officeDocument/2006/relationships/hyperlink" Target="https://www.sec.gov/Archives/edgar/data/1979414/000182912625001228/neonctechnologies_ex10-51.htm" TargetMode="External"/><Relationship Id="rId149" Type="http://schemas.openxmlformats.org/officeDocument/2006/relationships/hyperlink" Target="https://www.sec.gov/Archives/edgar/data/1979414/000182912625001228/neonctechnologies_ex10-52.htm" TargetMode="External"/><Relationship Id="rId150" Type="http://schemas.openxmlformats.org/officeDocument/2006/relationships/hyperlink" Target="https://www.sec.gov/Archives/edgar/data/1979414/000182912625001228/neonctechnologies_ex10-53.htm" TargetMode="External"/><Relationship Id="rId151" Type="http://schemas.openxmlformats.org/officeDocument/2006/relationships/hyperlink" Target="https://www.sec.gov/Archives/edgar/data/1979414/000182912625001228/neonctechnologies_ex10-54.htm" TargetMode="External"/><Relationship Id="rId152" Type="http://schemas.openxmlformats.org/officeDocument/2006/relationships/hyperlink" Target="https://www.sec.gov/Archives/edgar/data/1979414/000182912625001228/neonctechnologies_ex10-55.htm" TargetMode="External"/><Relationship Id="rId153" Type="http://schemas.openxmlformats.org/officeDocument/2006/relationships/hyperlink" Target="https://www.sec.gov/Archives/edgar/data/1979414/000182912625001228/neonctechnologies_ex10-56.htm" TargetMode="External"/><Relationship Id="rId154" Type="http://schemas.openxmlformats.org/officeDocument/2006/relationships/hyperlink" Target="https://www.sec.gov/Archives/edgar/data/1979414/000182912625002295/neonctechnologies_ex10-1.htm" TargetMode="External"/><Relationship Id="rId155" Type="http://schemas.openxmlformats.org/officeDocument/2006/relationships/hyperlink" Target="https://www.sec.gov/Archives/edgar/data/1979414/000182912625002595/neonctechnologies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2025-05-09T16:09:30Z</dcterms:created>
  <dcterms:modified xsi:type="dcterms:W3CDTF">2025-05-09T16:09:30Z</dcterms:modified>
</cp:coreProperties>
</file>